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A5043" w:rsidRPr="001F1B21" w:rsidP="001F1B21">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2pt;margin-top:827pt;margin-left:810pt;mso-position-horizontal-relative:page;mso-position-vertical-relative:top-margin-area;position:absolute;z-index:251658240">
            <v:imagedata r:id="rId4" o:title=""/>
          </v:shape>
        </w:pict>
      </w:r>
      <w:bookmarkStart w:id="0" w:name="_GoBack"/>
      <w:bookmarkEnd w:id="0"/>
      <w:r w:rsidRPr="001F1B21" w:rsidR="002E3EB1">
        <w:rPr>
          <w:rFonts w:ascii="宋体" w:hAnsi="宋体"/>
          <w:color w:val="FF0000"/>
          <w:sz w:val="28"/>
        </w:rPr>
        <w:t>限时精练(三)</w:t>
      </w:r>
    </w:p>
    <w:p w:rsidR="00BA5043" w:rsidRPr="001F1B21" w:rsidP="00BA5043">
      <w:pPr>
        <w:pStyle w:val="PlainText"/>
        <w:snapToGrid w:val="0"/>
        <w:spacing w:line="360" w:lineRule="auto"/>
        <w:jc w:val="center"/>
        <w:rPr>
          <w:rFonts w:hAnsi="宋体" w:cs="Times New Roman"/>
        </w:rPr>
      </w:pPr>
      <w:r w:rsidRPr="001F1B21">
        <w:rPr>
          <w:rFonts w:hAnsi="宋体" w:cs="Times New Roman"/>
        </w:rPr>
        <w:t>(用时：20分钟　分值：20分)</w:t>
      </w:r>
    </w:p>
    <w:p w:rsidR="00BA5043" w:rsidRPr="001F1B21" w:rsidP="00BA5043">
      <w:pPr>
        <w:pStyle w:val="PlainText"/>
        <w:snapToGrid w:val="0"/>
        <w:spacing w:line="360" w:lineRule="auto"/>
        <w:rPr>
          <w:rFonts w:hAnsi="宋体" w:cs="Times New Roman"/>
        </w:rPr>
      </w:pPr>
      <w:r w:rsidRPr="001F1B21">
        <w:rPr>
          <w:rFonts w:hAnsi="宋体" w:cs="Times New Roman"/>
        </w:rPr>
        <w:t>一、阅读下面的文字，完成文后题目。(10分)</w:t>
      </w:r>
    </w:p>
    <w:p w:rsidR="00BA5043" w:rsidRPr="001F1B21" w:rsidP="00BA5043">
      <w:pPr>
        <w:pStyle w:val="PlainText"/>
        <w:snapToGrid w:val="0"/>
        <w:spacing w:line="360" w:lineRule="auto"/>
        <w:jc w:val="center"/>
        <w:rPr>
          <w:rFonts w:hAnsi="宋体" w:cs="Times New Roman"/>
        </w:rPr>
      </w:pPr>
      <w:r w:rsidRPr="001F1B21">
        <w:rPr>
          <w:rFonts w:hAnsi="宋体" w:cs="Times New Roman"/>
        </w:rPr>
        <w:t>画家画天空，背后有科学</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爱德华·蒙克的《呐喊》中，天空充满了红色的颜料，它们像一大块黏糊糊的东西，看起来如此沉重，似乎即将压下来。这夸张的色彩也许不是画家的随意泼墨，美国德克萨斯州立大学物理学家唐纳德·奥尔森在《天空和望远镜》杂志中指出，蒙克画中的红色天空，也许是一种自然现象。</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那些传世画作往往反映了真实的气候环境情况。希腊气象局科学家赫里斯托斯·泽雷弗斯所带领的科研小组也做了类似的研究。他们搜集了554幅日落油画和水彩画。这些画作分别出自181位著名画家之手，其中包括法国印象主义画家德加、奥地利画家克里姆特、荷兰画家伦勃朗、德国宫廷画师鲁本斯等。最后他们把研究论文发表于《大气化学与物理学》杂志上。该论文分析了16世纪以来554幅描绘日落景象的名画中红绿两色的使用频率，结果表明，在过去的100年中，大气中的悬浮颗粒物浓度一直呈上升趋势。他们认为，自然因素和人为因素造成大气中粉尘含量上升，这会阻碍阳光进入大气层，导致全球暗化。</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英国伯明翰大学气象学家约翰·托宁多年来也一直在苦心研究各个时期英格兰各地的天气状况，他意外发现莫奈旅居伦敦期间的作品为他留下了宝贵的资料。莫奈创作于那时期的画作中，阳光在泰晤士河上跳跃闪耀，天空呈现出奇异的色彩变化。约翰·托宁想到，这些丰富的颜色并非出于莫奈头脑中的艺术幻想，而来自于真实的伦敦生活。那漫天黄色，应是高硫含量的煤燃烧后烟尘和硫酸盐颗粒散布到空气中，成为水蒸气的凝结核所致，在此条件下形成的雾霾比自然形成的雾更为持久。比较巧合的是，狄更斯在其有关英国工业革命时期的小说《雾都孤儿》中也写道：“在城市边缘地带，雾是深黄色的。靠里一点儿，是棕色的。再靠里一点儿，棕色再深一些。直到商业区的中心地带，雾是赭黑色的。”</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科学家去做了验证，选取莫奈1898～1900年创作的9幅作品，结合他同一时期的信件和日记，与美国海军天文台的数据对照。令他们惊叹的是，莫奈身为艺术家，却如同科学研究者一样，一丝不苟地记录了创作日期及太阳所处的位置，绝无臆造。所以印象派大师的确是非常可信地用手中画笔将伦敦当年的绝世光影留存于世的。</w:t>
      </w:r>
      <w:r w:rsidRPr="001F1B21">
        <w:rPr>
          <w:rFonts w:hAnsi="宋体" w:cs="Times New Roman"/>
          <w:u w:val="single"/>
        </w:rPr>
        <w:t>不过印象派大师的绚丽色彩，可能来自PM</w:t>
      </w:r>
      <w:r w:rsidRPr="001F1B21">
        <w:rPr>
          <w:rFonts w:hAnsi="宋体" w:cs="Times New Roman"/>
          <w:u w:val="single"/>
          <w:vertAlign w:val="subscript"/>
        </w:rPr>
        <w:t>10</w:t>
      </w:r>
      <w:r w:rsidRPr="001F1B21">
        <w:rPr>
          <w:rFonts w:hAnsi="宋体" w:cs="Times New Roman"/>
          <w:u w:val="single"/>
        </w:rPr>
        <w:t>之类的大气污染物，想到这点不免让人有些沮丧。</w:t>
      </w:r>
      <w:r w:rsidRPr="001F1B21">
        <w:rPr>
          <w:rFonts w:hAnsi="宋体" w:cs="Times New Roman"/>
        </w:rPr>
        <w:t>(有删改)</w:t>
      </w:r>
    </w:p>
    <w:p w:rsidR="00BA5043" w:rsidRPr="001F1B21" w:rsidP="00BA5043">
      <w:pPr>
        <w:pStyle w:val="PlainText"/>
        <w:snapToGrid w:val="0"/>
        <w:spacing w:line="360" w:lineRule="auto"/>
        <w:rPr>
          <w:rFonts w:hAnsi="宋体" w:cs="Times New Roman"/>
        </w:rPr>
      </w:pPr>
      <w:r w:rsidRPr="001F1B21">
        <w:rPr>
          <w:rFonts w:hAnsi="宋体" w:cs="Times New Roman"/>
        </w:rPr>
        <w:t>1.下列对文中画线句中“沮丧”的原因的解说，最恰当的一项是(3分)(　　)</w:t>
      </w:r>
    </w:p>
    <w:p w:rsidR="00BA5043" w:rsidRPr="001F1B21" w:rsidP="00BA5043">
      <w:pPr>
        <w:pStyle w:val="PlainText"/>
        <w:snapToGrid w:val="0"/>
        <w:spacing w:line="360" w:lineRule="auto"/>
        <w:rPr>
          <w:rFonts w:hAnsi="宋体" w:cs="Times New Roman"/>
        </w:rPr>
      </w:pPr>
      <w:r w:rsidRPr="001F1B21">
        <w:rPr>
          <w:rFonts w:hAnsi="宋体" w:cs="Times New Roman"/>
        </w:rPr>
        <w:t>A.蒙克的《呐喊》中，天空充满了红色的颜料，它们像一大块黏糊糊的东西，看起来如此沉重。</w:t>
      </w:r>
    </w:p>
    <w:p w:rsidR="00BA5043" w:rsidRPr="001F1B21" w:rsidP="00BA5043">
      <w:pPr>
        <w:pStyle w:val="PlainText"/>
        <w:snapToGrid w:val="0"/>
        <w:spacing w:line="360" w:lineRule="auto"/>
        <w:rPr>
          <w:rFonts w:hAnsi="宋体" w:cs="Times New Roman"/>
        </w:rPr>
      </w:pPr>
      <w:r w:rsidRPr="001F1B21">
        <w:rPr>
          <w:rFonts w:hAnsi="宋体" w:cs="Times New Roman"/>
        </w:rPr>
        <w:t>B.日落油画和水彩画中红绿两色的使用频率随着大气中粉尘含量的上升而上升。</w:t>
      </w:r>
    </w:p>
    <w:p w:rsidR="00BA5043" w:rsidRPr="001F1B21" w:rsidP="00BA5043">
      <w:pPr>
        <w:pStyle w:val="PlainText"/>
        <w:snapToGrid w:val="0"/>
        <w:spacing w:line="360" w:lineRule="auto"/>
        <w:rPr>
          <w:rFonts w:hAnsi="宋体" w:cs="Times New Roman"/>
        </w:rPr>
      </w:pPr>
      <w:r w:rsidRPr="001F1B21">
        <w:rPr>
          <w:rFonts w:hAnsi="宋体" w:cs="Times New Roman"/>
        </w:rPr>
        <w:t>C.莫奈画作中那漫天黄色实为高硫含量的煤燃烧后的烟尘和硫酸盐颗粒散布到空气中形成的雾霾。</w:t>
      </w:r>
    </w:p>
    <w:p w:rsidR="00BA5043" w:rsidRPr="001F1B21" w:rsidP="00BA5043">
      <w:pPr>
        <w:pStyle w:val="PlainText"/>
        <w:snapToGrid w:val="0"/>
        <w:spacing w:line="360" w:lineRule="auto"/>
        <w:rPr>
          <w:rFonts w:hAnsi="宋体" w:cs="Times New Roman"/>
        </w:rPr>
      </w:pPr>
      <w:r w:rsidRPr="001F1B21">
        <w:rPr>
          <w:rFonts w:hAnsi="宋体" w:cs="Times New Roman"/>
        </w:rPr>
        <w:t>D.原先人们对印象派大师作品艺术特色的认识可能是错误的。PM</w:t>
      </w:r>
      <w:r w:rsidRPr="001F1B21">
        <w:rPr>
          <w:rFonts w:hAnsi="宋体" w:cs="Times New Roman"/>
          <w:vertAlign w:val="subscript"/>
        </w:rPr>
        <w:t>10</w:t>
      </w:r>
      <w:r w:rsidRPr="001F1B21">
        <w:rPr>
          <w:rFonts w:hAnsi="宋体" w:cs="Times New Roman"/>
        </w:rPr>
        <w:t>之类的大气污染物早已有之，这不免让人有些失落。</w:t>
      </w:r>
    </w:p>
    <w:p w:rsidR="00BA5043" w:rsidRPr="001F1B21" w:rsidP="00BA5043">
      <w:pPr>
        <w:pStyle w:val="PlainText"/>
        <w:snapToGrid w:val="0"/>
        <w:spacing w:line="360" w:lineRule="auto"/>
        <w:rPr>
          <w:rFonts w:hAnsi="宋体" w:cs="Times New Roman"/>
        </w:rPr>
      </w:pPr>
      <w:r w:rsidRPr="001F1B21">
        <w:rPr>
          <w:rFonts w:hAnsi="宋体" w:cs="Times New Roman"/>
        </w:rPr>
        <w:t>2.下列推断不符合原文意思的一项是(3分)(　　)</w:t>
      </w:r>
    </w:p>
    <w:p w:rsidR="00BA5043" w:rsidRPr="001F1B21" w:rsidP="00BA5043">
      <w:pPr>
        <w:pStyle w:val="PlainText"/>
        <w:snapToGrid w:val="0"/>
        <w:spacing w:line="360" w:lineRule="auto"/>
        <w:rPr>
          <w:rFonts w:hAnsi="宋体" w:cs="Times New Roman"/>
        </w:rPr>
      </w:pPr>
      <w:r w:rsidRPr="001F1B21">
        <w:rPr>
          <w:rFonts w:hAnsi="宋体" w:cs="Times New Roman"/>
        </w:rPr>
        <w:t>A.科学家的研究证明，一些著名画家笔下夸张的色彩，一定程度上是大气污染等自然现象的真实呈现。</w:t>
      </w:r>
    </w:p>
    <w:p w:rsidR="00BA5043" w:rsidRPr="001F1B21" w:rsidP="00BA5043">
      <w:pPr>
        <w:pStyle w:val="PlainText"/>
        <w:snapToGrid w:val="0"/>
        <w:spacing w:line="360" w:lineRule="auto"/>
        <w:rPr>
          <w:rFonts w:hAnsi="宋体" w:cs="Times New Roman"/>
        </w:rPr>
      </w:pPr>
      <w:r w:rsidRPr="001F1B21">
        <w:rPr>
          <w:rFonts w:hAnsi="宋体" w:cs="Times New Roman"/>
        </w:rPr>
        <w:t>B.约翰·托宁多年来对英格兰各个时期各地的天气状况的苦心研究取得了突破性进展，得益于他一开始就对莫奈旅居伦敦期间的作品进行研究。</w:t>
      </w:r>
    </w:p>
    <w:p w:rsidR="00BA5043" w:rsidRPr="001F1B21" w:rsidP="00BA5043">
      <w:pPr>
        <w:pStyle w:val="PlainText"/>
        <w:snapToGrid w:val="0"/>
        <w:spacing w:line="360" w:lineRule="auto"/>
        <w:rPr>
          <w:rFonts w:hAnsi="宋体" w:cs="Times New Roman"/>
        </w:rPr>
      </w:pPr>
      <w:r w:rsidRPr="001F1B21">
        <w:rPr>
          <w:rFonts w:hAnsi="宋体" w:cs="Times New Roman"/>
        </w:rPr>
        <w:t>C.研究者认为，大气中的悬浮颗粒物浓度呈上升趋势能导致全球暗化，不过并非都由人为因素造成。</w:t>
      </w:r>
    </w:p>
    <w:p w:rsidR="00BA5043" w:rsidRPr="001F1B21" w:rsidP="00BA5043">
      <w:pPr>
        <w:pStyle w:val="PlainText"/>
        <w:snapToGrid w:val="0"/>
        <w:spacing w:line="360" w:lineRule="auto"/>
        <w:rPr>
          <w:rFonts w:hAnsi="宋体" w:cs="Times New Roman"/>
        </w:rPr>
      </w:pPr>
      <w:r w:rsidRPr="001F1B21">
        <w:rPr>
          <w:rFonts w:hAnsi="宋体" w:cs="Times New Roman"/>
        </w:rPr>
        <w:t>D.艺术家莫奈对创作日期及太阳所处位置的客观记录，与美国海军天文台同期的数据对照，相当客观。</w:t>
      </w:r>
    </w:p>
    <w:p w:rsidR="00BA5043" w:rsidRPr="001F1B21" w:rsidP="00BA5043">
      <w:pPr>
        <w:pStyle w:val="PlainText"/>
        <w:snapToGrid w:val="0"/>
        <w:spacing w:line="360" w:lineRule="auto"/>
        <w:rPr>
          <w:rFonts w:hAnsi="宋体" w:cs="Times New Roman"/>
        </w:rPr>
      </w:pPr>
      <w:r w:rsidRPr="001F1B21">
        <w:rPr>
          <w:rFonts w:hAnsi="宋体" w:cs="Times New Roman"/>
        </w:rPr>
        <w:t>3.作家狄更斯与画家对天空雾气的描绘趋同的原因是什么？请谈谈你的理解。(4分)</w:t>
      </w:r>
    </w:p>
    <w:p w:rsidR="00BA5043" w:rsidRPr="001F1B21" w:rsidP="00BA5043">
      <w:pPr>
        <w:pStyle w:val="PlainText"/>
        <w:snapToGrid w:val="0"/>
        <w:spacing w:line="360" w:lineRule="auto"/>
        <w:rPr>
          <w:rFonts w:hAnsi="宋体" w:cs="Times New Roman"/>
        </w:rPr>
      </w:pPr>
      <w:r w:rsidRPr="001F1B21">
        <w:rPr>
          <w:rFonts w:hAnsi="宋体" w:cs="Times New Roman"/>
        </w:rPr>
        <w:t>答：　</w:t>
      </w: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r w:rsidRPr="001F1B21">
        <w:rPr>
          <w:rFonts w:hAnsi="宋体" w:cs="Times New Roman"/>
        </w:rPr>
        <w:t>二、阅读下面的文字，完成文后题目。(10分)</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材料一：</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走进天津滨海新区图书馆，迎面而来的仿佛是一个科幻感十足的“未来世界”——一座长方体建筑被一个椭圆形的开口直接穿过。建筑内部，一个巨大的球形报告厅占据了大厅的中央位置，如同“天眼”凝视外界。环视四周，围绕报告厅逐级上升的阶梯与高挑的空间创造出丰富的层次感，带来如同海浪起伏般的景观效果……近日，几张天津滨海新区图书馆的照片在网上迅速“爆红”，吸引了来自世界的目光。</w:t>
      </w:r>
    </w:p>
    <w:p w:rsidR="00775BB8" w:rsidRPr="001F1B21" w:rsidP="00775BB8">
      <w:pPr>
        <w:pStyle w:val="PlainText"/>
        <w:snapToGrid w:val="0"/>
        <w:spacing w:line="360" w:lineRule="auto"/>
        <w:ind w:firstLine="420" w:firstLineChars="200"/>
        <w:rPr>
          <w:rFonts w:hAnsi="宋体" w:cs="Times New Roman"/>
        </w:rPr>
      </w:pPr>
      <w:r w:rsidRPr="001F1B21">
        <w:rPr>
          <w:rFonts w:hAnsi="宋体" w:cs="Times New Roman"/>
        </w:rPr>
        <w:t>“这座图书馆别具一格之处在于它用现代建筑理念和方法创造了一个科技感和美感十足的巨型中厅，让读者拥有极大的阅读、交流以及想象的空间。”滨海新区宣传部副部长、文化广播电视局局长宋俊生介绍，“我始终认为，图书馆并非一个简单的陈列空间。它以丰富多样的、多载体形式的、经过精心挑选的、长期积累的文献信息为基础，是知识与信息的集散地，也是人类文化的传播地。它囊括中外，兼及古今，能够对人们的思想道德、文化科学、体育艺术素养进行全方位的熏陶。它们或历史悠久庄严肃穆，或年轻灵动充满生机，不应该都长着相似的面孔。”</w:t>
      </w:r>
    </w:p>
    <w:p w:rsidR="00BA5043" w:rsidRPr="001F1B21" w:rsidP="00775BB8">
      <w:pPr>
        <w:pStyle w:val="PlainText"/>
        <w:snapToGrid w:val="0"/>
        <w:spacing w:line="360" w:lineRule="auto"/>
        <w:ind w:firstLine="420" w:firstLineChars="200"/>
        <w:jc w:val="right"/>
        <w:rPr>
          <w:rFonts w:hAnsi="宋体" w:cs="Times New Roman"/>
        </w:rPr>
      </w:pPr>
      <w:r w:rsidRPr="001F1B21">
        <w:rPr>
          <w:rFonts w:hAnsi="宋体" w:cs="Times New Roman"/>
        </w:rPr>
        <w:t>(摘编自2017年12月21日《光明日报》陈建强等《用书籍涵养一座城市的品格》)</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材料二：</w:t>
      </w:r>
    </w:p>
    <w:p w:rsidR="00775BB8" w:rsidRPr="001F1B21" w:rsidP="00775BB8">
      <w:pPr>
        <w:pStyle w:val="PlainText"/>
        <w:snapToGrid w:val="0"/>
        <w:spacing w:line="360" w:lineRule="auto"/>
        <w:ind w:firstLine="420" w:firstLineChars="200"/>
        <w:rPr>
          <w:rFonts w:hAnsi="宋体" w:cs="Times New Roman"/>
        </w:rPr>
      </w:pPr>
      <w:r w:rsidRPr="001F1B21">
        <w:rPr>
          <w:rFonts w:hAnsi="宋体" w:cs="Times New Roman"/>
        </w:rPr>
        <w:t>有学者做调研显示：我国城镇居民超过60%的人从来没有去过图书馆；城镇居民中有接近40%的中小学生，在上大学之前没有去过图书馆；有超过20%的居民不知道本地公共图书馆；仅有4%的中小城市有图书馆的道路标识。国家图书馆研究院2014年9月公布的数据显示，我国国民公共图书馆利用率很低：2013年我国公民图书馆持证率只有2.5%，而美国是68%，英国是58%；2013年，我国公共图书馆人均到馆0.36次，美国人均到馆5.1次。</w:t>
      </w:r>
    </w:p>
    <w:p w:rsidR="00775BB8" w:rsidRPr="001F1B21" w:rsidP="00775BB8">
      <w:pPr>
        <w:pStyle w:val="PlainText"/>
        <w:snapToGrid w:val="0"/>
        <w:spacing w:line="360" w:lineRule="auto"/>
        <w:ind w:firstLine="420" w:firstLineChars="200"/>
        <w:jc w:val="right"/>
        <w:rPr>
          <w:rFonts w:hAnsi="宋体" w:cs="Times New Roman"/>
        </w:rPr>
      </w:pPr>
      <w:r w:rsidRPr="001F1B21">
        <w:rPr>
          <w:rFonts w:hAnsi="宋体" w:cs="Times New Roman"/>
        </w:rPr>
        <w:t>(摘编自2017年第1期《图书馆工作》柴林红</w:t>
      </w:r>
    </w:p>
    <w:p w:rsidR="00BA5043" w:rsidRPr="001F1B21" w:rsidP="00775BB8">
      <w:pPr>
        <w:pStyle w:val="PlainText"/>
        <w:snapToGrid w:val="0"/>
        <w:spacing w:line="360" w:lineRule="auto"/>
        <w:ind w:firstLine="420" w:firstLineChars="200"/>
        <w:jc w:val="right"/>
        <w:rPr>
          <w:rFonts w:hAnsi="宋体" w:cs="Times New Roman"/>
        </w:rPr>
      </w:pPr>
      <w:r w:rsidRPr="001F1B21">
        <w:rPr>
          <w:rFonts w:hAnsi="宋体" w:cs="Times New Roman"/>
        </w:rPr>
        <w:t xml:space="preserve">《探究基层公共图书馆建设“书香社会”的对策》) </w:t>
      </w:r>
    </w:p>
    <w:p w:rsidR="00BA5043" w:rsidRPr="001F1B21" w:rsidP="00775BB8">
      <w:pPr>
        <w:pStyle w:val="PlainText"/>
        <w:snapToGrid w:val="0"/>
        <w:spacing w:line="360" w:lineRule="auto"/>
        <w:ind w:firstLine="420" w:firstLineChars="200"/>
        <w:rPr>
          <w:rFonts w:hAnsi="宋体" w:cs="Times New Roman"/>
        </w:rPr>
      </w:pPr>
      <w:r w:rsidRPr="001F1B21">
        <w:rPr>
          <w:rFonts w:hAnsi="宋体" w:cs="Times New Roman"/>
        </w:rPr>
        <w:t>材料三：</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982"/>
        <w:gridCol w:w="982"/>
        <w:gridCol w:w="982"/>
        <w:gridCol w:w="869"/>
        <w:gridCol w:w="922"/>
        <w:gridCol w:w="850"/>
        <w:gridCol w:w="992"/>
        <w:gridCol w:w="993"/>
      </w:tblGrid>
      <w:tr w:rsidTr="00882853">
        <w:tblPrEx>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680" w:type="dxa"/>
            <w:vMerge w:val="restart"/>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年份</w:t>
            </w:r>
          </w:p>
        </w:tc>
        <w:tc>
          <w:tcPr>
            <w:tcW w:w="1964" w:type="dxa"/>
            <w:gridSpan w:val="2"/>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省级馆</w:t>
            </w:r>
          </w:p>
        </w:tc>
        <w:tc>
          <w:tcPr>
            <w:tcW w:w="1851" w:type="dxa"/>
            <w:gridSpan w:val="2"/>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市级馆</w:t>
            </w:r>
          </w:p>
        </w:tc>
        <w:tc>
          <w:tcPr>
            <w:tcW w:w="1772" w:type="dxa"/>
            <w:gridSpan w:val="2"/>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县级馆</w:t>
            </w:r>
          </w:p>
        </w:tc>
        <w:tc>
          <w:tcPr>
            <w:tcW w:w="1985" w:type="dxa"/>
            <w:gridSpan w:val="2"/>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合　计</w:t>
            </w:r>
          </w:p>
        </w:tc>
      </w:tr>
      <w:tr w:rsidTr="00882853">
        <w:tblPrEx>
          <w:tblW w:w="8252" w:type="dxa"/>
          <w:jc w:val="center"/>
          <w:tblLayout w:type="fixed"/>
          <w:tblLook w:val="0000"/>
        </w:tblPrEx>
        <w:trPr>
          <w:jc w:val="center"/>
        </w:trPr>
        <w:tc>
          <w:tcPr>
            <w:tcW w:w="680" w:type="dxa"/>
            <w:vMerge/>
            <w:shd w:val="clear" w:color="auto" w:fill="auto"/>
            <w:vAlign w:val="center"/>
          </w:tcPr>
          <w:p w:rsidR="00882853" w:rsidRPr="001F1B21" w:rsidP="00882853">
            <w:pPr>
              <w:pStyle w:val="PlainText"/>
              <w:snapToGrid w:val="0"/>
              <w:spacing w:line="360" w:lineRule="auto"/>
              <w:jc w:val="center"/>
              <w:rPr>
                <w:rFonts w:hAnsi="宋体" w:cs="Times New Roman"/>
              </w:rPr>
            </w:pP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财政拨款/万元</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购书专项经费/万元</w:t>
            </w:r>
          </w:p>
        </w:tc>
        <w:tc>
          <w:tcPr>
            <w:tcW w:w="982"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财政拨款/万元</w:t>
            </w:r>
          </w:p>
        </w:tc>
        <w:tc>
          <w:tcPr>
            <w:tcW w:w="869"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购书专项经费/万元</w:t>
            </w:r>
          </w:p>
        </w:tc>
        <w:tc>
          <w:tcPr>
            <w:tcW w:w="922"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财政拨款/万元</w:t>
            </w:r>
          </w:p>
        </w:tc>
        <w:tc>
          <w:tcPr>
            <w:tcW w:w="850"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购书专项经费/万元</w:t>
            </w:r>
          </w:p>
        </w:tc>
        <w:tc>
          <w:tcPr>
            <w:tcW w:w="992"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财政拨款/万元</w:t>
            </w:r>
          </w:p>
        </w:tc>
        <w:tc>
          <w:tcPr>
            <w:tcW w:w="993" w:type="dxa"/>
            <w:shd w:val="clear" w:color="auto" w:fill="auto"/>
            <w:vAlign w:val="center"/>
          </w:tcPr>
          <w:p w:rsidR="00882853" w:rsidRPr="001F1B21" w:rsidP="00882853">
            <w:pPr>
              <w:pStyle w:val="PlainText"/>
              <w:snapToGrid w:val="0"/>
              <w:spacing w:line="360" w:lineRule="auto"/>
              <w:jc w:val="center"/>
              <w:rPr>
                <w:rFonts w:hAnsi="宋体" w:cs="宋体"/>
              </w:rPr>
            </w:pPr>
            <w:r w:rsidRPr="001F1B21">
              <w:rPr>
                <w:rFonts w:hAnsi="宋体" w:cs="Times New Roman"/>
              </w:rPr>
              <w:t>购书专项经费/万元</w:t>
            </w:r>
          </w:p>
        </w:tc>
      </w:tr>
      <w:tr w:rsidTr="00882853">
        <w:tblPrEx>
          <w:tblW w:w="8252" w:type="dxa"/>
          <w:jc w:val="center"/>
          <w:tblLayout w:type="fixed"/>
          <w:tblLook w:val="0000"/>
        </w:tblPrEx>
        <w:trPr>
          <w:jc w:val="center"/>
        </w:trPr>
        <w:tc>
          <w:tcPr>
            <w:tcW w:w="68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2010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1780.1</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300.0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2692.0</w:t>
            </w:r>
          </w:p>
        </w:tc>
        <w:tc>
          <w:tcPr>
            <w:tcW w:w="869"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641.0</w:t>
            </w:r>
          </w:p>
        </w:tc>
        <w:tc>
          <w:tcPr>
            <w:tcW w:w="92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5253.4</w:t>
            </w:r>
          </w:p>
        </w:tc>
        <w:tc>
          <w:tcPr>
            <w:tcW w:w="85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453.2</w:t>
            </w:r>
          </w:p>
        </w:tc>
        <w:tc>
          <w:tcPr>
            <w:tcW w:w="99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9725.5</w:t>
            </w:r>
          </w:p>
        </w:tc>
        <w:tc>
          <w:tcPr>
            <w:tcW w:w="993"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1394.2</w:t>
            </w:r>
          </w:p>
        </w:tc>
      </w:tr>
      <w:tr w:rsidTr="00882853">
        <w:tblPrEx>
          <w:tblW w:w="8252" w:type="dxa"/>
          <w:jc w:val="center"/>
          <w:tblLayout w:type="fixed"/>
          <w:tblLook w:val="0000"/>
        </w:tblPrEx>
        <w:trPr>
          <w:jc w:val="center"/>
        </w:trPr>
        <w:tc>
          <w:tcPr>
            <w:tcW w:w="68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2011</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2004.1</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500.0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3863.7</w:t>
            </w:r>
          </w:p>
        </w:tc>
        <w:tc>
          <w:tcPr>
            <w:tcW w:w="869"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377.0</w:t>
            </w:r>
          </w:p>
        </w:tc>
        <w:tc>
          <w:tcPr>
            <w:tcW w:w="92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5329.4</w:t>
            </w:r>
          </w:p>
        </w:tc>
        <w:tc>
          <w:tcPr>
            <w:tcW w:w="85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575.3</w:t>
            </w:r>
          </w:p>
        </w:tc>
        <w:tc>
          <w:tcPr>
            <w:tcW w:w="99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11197.2</w:t>
            </w:r>
          </w:p>
        </w:tc>
        <w:tc>
          <w:tcPr>
            <w:tcW w:w="993"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1452.3</w:t>
            </w:r>
          </w:p>
        </w:tc>
      </w:tr>
      <w:tr w:rsidTr="00882853">
        <w:tblPrEx>
          <w:tblW w:w="8252" w:type="dxa"/>
          <w:jc w:val="center"/>
          <w:tblLayout w:type="fixed"/>
          <w:tblLook w:val="0000"/>
        </w:tblPrEx>
        <w:trPr>
          <w:jc w:val="center"/>
        </w:trPr>
        <w:tc>
          <w:tcPr>
            <w:tcW w:w="68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2012</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3102.0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500.0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5646.6</w:t>
            </w:r>
          </w:p>
        </w:tc>
        <w:tc>
          <w:tcPr>
            <w:tcW w:w="869"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467.0</w:t>
            </w:r>
          </w:p>
        </w:tc>
        <w:tc>
          <w:tcPr>
            <w:tcW w:w="92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7433.5</w:t>
            </w:r>
          </w:p>
        </w:tc>
        <w:tc>
          <w:tcPr>
            <w:tcW w:w="85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648.2</w:t>
            </w:r>
          </w:p>
        </w:tc>
        <w:tc>
          <w:tcPr>
            <w:tcW w:w="99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16182.1</w:t>
            </w:r>
          </w:p>
        </w:tc>
        <w:tc>
          <w:tcPr>
            <w:tcW w:w="993"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1651.2</w:t>
            </w:r>
          </w:p>
        </w:tc>
      </w:tr>
      <w:tr w:rsidTr="00882853">
        <w:tblPrEx>
          <w:tblW w:w="8252" w:type="dxa"/>
          <w:jc w:val="center"/>
          <w:tblLayout w:type="fixed"/>
          <w:tblLook w:val="0000"/>
        </w:tblPrEx>
        <w:trPr>
          <w:jc w:val="center"/>
        </w:trPr>
        <w:tc>
          <w:tcPr>
            <w:tcW w:w="68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2013</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4462.9</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700.0</w:t>
            </w:r>
          </w:p>
        </w:tc>
        <w:tc>
          <w:tcPr>
            <w:tcW w:w="98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5656.1</w:t>
            </w:r>
          </w:p>
        </w:tc>
        <w:tc>
          <w:tcPr>
            <w:tcW w:w="869"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544.6</w:t>
            </w:r>
          </w:p>
        </w:tc>
        <w:tc>
          <w:tcPr>
            <w:tcW w:w="92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8628.7</w:t>
            </w:r>
          </w:p>
        </w:tc>
        <w:tc>
          <w:tcPr>
            <w:tcW w:w="850"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803.9</w:t>
            </w:r>
          </w:p>
        </w:tc>
        <w:tc>
          <w:tcPr>
            <w:tcW w:w="992"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18747.7</w:t>
            </w:r>
          </w:p>
        </w:tc>
        <w:tc>
          <w:tcPr>
            <w:tcW w:w="993" w:type="dxa"/>
            <w:shd w:val="clear" w:color="auto" w:fill="auto"/>
            <w:vAlign w:val="center"/>
          </w:tcPr>
          <w:p w:rsidR="00882853" w:rsidRPr="001F1B21" w:rsidP="00882853">
            <w:pPr>
              <w:pStyle w:val="PlainText"/>
              <w:snapToGrid w:val="0"/>
              <w:spacing w:line="360" w:lineRule="auto"/>
              <w:jc w:val="center"/>
              <w:rPr>
                <w:rFonts w:hAnsi="宋体" w:cs="Times New Roman"/>
              </w:rPr>
            </w:pPr>
            <w:r w:rsidRPr="001F1B21">
              <w:rPr>
                <w:rFonts w:hAnsi="宋体" w:cs="Times New Roman"/>
              </w:rPr>
              <w:t>2048.5</w:t>
            </w:r>
          </w:p>
        </w:tc>
      </w:tr>
    </w:tbl>
    <w:p w:rsidR="0088285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r>
        <w:rPr>
          <w:rFonts w:hAnsi="宋体" w:cs="Times New Roman"/>
        </w:rPr>
        <w:pict>
          <v:shape id="_x0000_i1026" type="#_x0000_t75" style="width:2.25pt;height:8.25pt">
            <v:imagedata r:id="rId5" r:href="rId6" o:title=""/>
          </v:shape>
        </w:pict>
      </w:r>
      <w:r w:rsidRPr="001F1B21" w:rsidR="002E3EB1">
        <w:rPr>
          <w:rFonts w:hAnsi="宋体" w:cs="Times New Roman"/>
        </w:rPr>
        <w:t>注</w:t>
      </w:r>
      <w:r w:rsidRPr="001F1B21" w:rsidR="002E3EB1">
        <w:rPr>
          <w:rFonts w:hAnsi="宋体" w:cs="Times New Roman"/>
        </w:rPr>
        <w:t>　本表数据根据《中国文化文物统计年鉴》(2011—2014年)统计得出。</w:t>
      </w:r>
    </w:p>
    <w:p w:rsidR="00BA5043" w:rsidRPr="001F1B21" w:rsidP="002A33D8">
      <w:pPr>
        <w:pStyle w:val="PlainText"/>
        <w:snapToGrid w:val="0"/>
        <w:spacing w:line="360" w:lineRule="auto"/>
        <w:ind w:firstLine="420" w:firstLineChars="200"/>
        <w:rPr>
          <w:rFonts w:hAnsi="宋体" w:cs="Times New Roman"/>
        </w:rPr>
      </w:pPr>
      <w:r w:rsidRPr="001F1B21">
        <w:rPr>
          <w:rFonts w:hAnsi="宋体" w:cs="Times New Roman"/>
        </w:rPr>
        <w:t>材料四：</w:t>
      </w:r>
    </w:p>
    <w:p w:rsidR="00BA5043" w:rsidRPr="001F1B21" w:rsidP="002A33D8">
      <w:pPr>
        <w:pStyle w:val="PlainText"/>
        <w:snapToGrid w:val="0"/>
        <w:spacing w:line="360" w:lineRule="auto"/>
        <w:ind w:firstLine="420" w:firstLineChars="200"/>
        <w:rPr>
          <w:rFonts w:hAnsi="宋体" w:cs="Times New Roman"/>
        </w:rPr>
      </w:pPr>
      <w:r w:rsidRPr="001F1B21">
        <w:rPr>
          <w:rFonts w:hAnsi="宋体" w:cs="Times New Roman"/>
        </w:rPr>
        <w:t>在河南许昌市鹿鸣湖畔的一座钢构玻璃房内，一名年轻女孩正聚精会神地看着书，手边放着刚从超市提回来的购物袋。她说，这里环境好，隔着玻璃就能看到湖，而且借阅方便，离家也近，哪怕是买菜的间隙，她都会进来坐一坐。</w:t>
      </w:r>
    </w:p>
    <w:p w:rsidR="00BA5043" w:rsidRPr="001F1B21" w:rsidP="002A33D8">
      <w:pPr>
        <w:pStyle w:val="PlainText"/>
        <w:snapToGrid w:val="0"/>
        <w:spacing w:line="360" w:lineRule="auto"/>
        <w:ind w:firstLine="420" w:firstLineChars="200"/>
        <w:rPr>
          <w:rFonts w:hAnsi="宋体" w:cs="Times New Roman"/>
        </w:rPr>
      </w:pPr>
      <w:r w:rsidRPr="001F1B21">
        <w:rPr>
          <w:rFonts w:hAnsi="宋体" w:cs="Times New Roman"/>
        </w:rPr>
        <w:t>这座玻璃房便是今年9月正式对公众免费开放、并被当地人津津乐道的“24小时智慧阅读空间”。它是融智慧图书馆、便民志愿服务站为一体的一站式公共文化服务空间，许昌在人流密集、交通便利的路段共建成了12座这样的玻璃房。</w:t>
      </w:r>
    </w:p>
    <w:p w:rsidR="00BA5043" w:rsidRPr="001F1B21" w:rsidP="002A33D8">
      <w:pPr>
        <w:pStyle w:val="PlainText"/>
        <w:snapToGrid w:val="0"/>
        <w:spacing w:line="360" w:lineRule="auto"/>
        <w:ind w:firstLine="420" w:firstLineChars="200"/>
        <w:rPr>
          <w:rFonts w:hAnsi="宋体" w:cs="Times New Roman"/>
        </w:rPr>
      </w:pPr>
      <w:r w:rsidRPr="001F1B21">
        <w:rPr>
          <w:rFonts w:hAnsi="宋体" w:cs="Times New Roman"/>
        </w:rPr>
        <w:t>随意走进一间50平方米左右的玻璃房，通透宽敞，布置整齐。大书架上，各类图书琳琅满目。阅览桌椅旁摆放着自助办证机、电子图书借阅机、自助借还书机等。此外，玻璃房内还设有应急小药箱、针线包、雨伞架等便民服务设施。</w:t>
      </w:r>
    </w:p>
    <w:p w:rsidR="002A33D8" w:rsidRPr="001F1B21" w:rsidP="002A33D8">
      <w:pPr>
        <w:pStyle w:val="PlainText"/>
        <w:snapToGrid w:val="0"/>
        <w:spacing w:line="360" w:lineRule="auto"/>
        <w:ind w:firstLine="420" w:firstLineChars="200"/>
        <w:rPr>
          <w:rFonts w:hAnsi="宋体" w:cs="Times New Roman"/>
        </w:rPr>
      </w:pPr>
      <w:r w:rsidRPr="001F1B21">
        <w:rPr>
          <w:rFonts w:hAnsi="宋体" w:cs="Times New Roman"/>
        </w:rPr>
        <w:t>当阅读逐渐实现“零门槛”，氤氲的书香将成为城市最有朝气的文化标签。这些“家门口的图书馆”，如今正吸引着越来越多的市民前来阅读，藏于图书馆的书变成了市民的手边书和案头书。</w:t>
      </w:r>
    </w:p>
    <w:p w:rsidR="002A33D8" w:rsidRPr="001F1B21" w:rsidP="002A33D8">
      <w:pPr>
        <w:pStyle w:val="PlainText"/>
        <w:snapToGrid w:val="0"/>
        <w:spacing w:line="360" w:lineRule="auto"/>
        <w:ind w:firstLine="420" w:firstLineChars="200"/>
        <w:jc w:val="right"/>
        <w:rPr>
          <w:rFonts w:hAnsi="宋体" w:cs="Times New Roman"/>
        </w:rPr>
      </w:pPr>
      <w:r w:rsidRPr="001F1B21">
        <w:rPr>
          <w:rFonts w:hAnsi="宋体" w:cs="Times New Roman"/>
        </w:rPr>
        <w:t>(摘编自2017年11月10日新华社记者史林静</w:t>
      </w:r>
    </w:p>
    <w:p w:rsidR="00BA5043" w:rsidRPr="001F1B21" w:rsidP="002A33D8">
      <w:pPr>
        <w:pStyle w:val="PlainText"/>
        <w:snapToGrid w:val="0"/>
        <w:spacing w:line="360" w:lineRule="auto"/>
        <w:ind w:firstLine="420" w:firstLineChars="200"/>
        <w:jc w:val="right"/>
        <w:rPr>
          <w:rFonts w:hAnsi="宋体" w:cs="Times New Roman"/>
        </w:rPr>
      </w:pPr>
      <w:r w:rsidRPr="001F1B21">
        <w:rPr>
          <w:rFonts w:hAnsi="宋体" w:cs="Times New Roman"/>
        </w:rPr>
        <w:t>《“家门口的图书馆”构筑24小时智慧阅读空间》)</w:t>
      </w:r>
    </w:p>
    <w:p w:rsidR="00BA5043" w:rsidRPr="001F1B21" w:rsidP="00BA5043">
      <w:pPr>
        <w:pStyle w:val="PlainText"/>
        <w:snapToGrid w:val="0"/>
        <w:spacing w:line="360" w:lineRule="auto"/>
        <w:rPr>
          <w:rFonts w:hAnsi="宋体" w:cs="Times New Roman"/>
        </w:rPr>
      </w:pPr>
      <w:r w:rsidRPr="001F1B21">
        <w:rPr>
          <w:rFonts w:hAnsi="宋体" w:cs="Times New Roman"/>
        </w:rPr>
        <w:t>4.下列对材料二、材料三相关内容的理解，不正确的一项是(3分)(　　)</w:t>
      </w:r>
    </w:p>
    <w:p w:rsidR="00BA5043" w:rsidRPr="001F1B21" w:rsidP="00BA5043">
      <w:pPr>
        <w:pStyle w:val="PlainText"/>
        <w:snapToGrid w:val="0"/>
        <w:spacing w:line="360" w:lineRule="auto"/>
        <w:rPr>
          <w:rFonts w:hAnsi="宋体" w:cs="Times New Roman"/>
        </w:rPr>
      </w:pPr>
      <w:r w:rsidRPr="001F1B21">
        <w:rPr>
          <w:rFonts w:hAnsi="宋体" w:cs="Times New Roman"/>
        </w:rPr>
        <w:t>A.由材料二可知，我国国民公共图书馆利用率很低，超过半数的城镇居民从未去过图书馆。</w:t>
      </w:r>
    </w:p>
    <w:p w:rsidR="00BA5043" w:rsidRPr="001F1B21" w:rsidP="00BA5043">
      <w:pPr>
        <w:pStyle w:val="PlainText"/>
        <w:snapToGrid w:val="0"/>
        <w:spacing w:line="360" w:lineRule="auto"/>
        <w:rPr>
          <w:rFonts w:hAnsi="宋体" w:cs="Times New Roman"/>
        </w:rPr>
      </w:pPr>
      <w:r w:rsidRPr="001F1B21">
        <w:rPr>
          <w:rFonts w:hAnsi="宋体" w:cs="Times New Roman"/>
        </w:rPr>
        <w:t>B.材料二中的调查数据显示，我国公民图书馆持证率低于美国，人均到馆次数也低于美国。</w:t>
      </w:r>
    </w:p>
    <w:p w:rsidR="00BA5043" w:rsidRPr="001F1B21" w:rsidP="00BA5043">
      <w:pPr>
        <w:pStyle w:val="PlainText"/>
        <w:snapToGrid w:val="0"/>
        <w:spacing w:line="360" w:lineRule="auto"/>
        <w:rPr>
          <w:rFonts w:hAnsi="宋体" w:cs="Times New Roman"/>
        </w:rPr>
      </w:pPr>
      <w:r w:rsidRPr="001F1B21">
        <w:rPr>
          <w:rFonts w:hAnsi="宋体" w:cs="Times New Roman"/>
        </w:rPr>
        <w:t>C.从材料三的数据对比可知，各级政府都加大基层公共图书馆的投入，县级拨款最多。</w:t>
      </w:r>
    </w:p>
    <w:p w:rsidR="00BA5043" w:rsidRPr="001F1B21" w:rsidP="00BA5043">
      <w:pPr>
        <w:pStyle w:val="PlainText"/>
        <w:snapToGrid w:val="0"/>
        <w:spacing w:line="360" w:lineRule="auto"/>
        <w:rPr>
          <w:rFonts w:hAnsi="宋体" w:cs="Times New Roman"/>
        </w:rPr>
      </w:pPr>
      <w:r w:rsidRPr="001F1B21">
        <w:rPr>
          <w:rFonts w:hAnsi="宋体" w:cs="Times New Roman"/>
        </w:rPr>
        <w:t>D.由材料三可知，2010—2013年各级公共图书馆财政拨款及购书经费都在逐年增加。</w:t>
      </w:r>
    </w:p>
    <w:p w:rsidR="00BA5043" w:rsidRPr="001F1B21" w:rsidP="00BA5043">
      <w:pPr>
        <w:pStyle w:val="PlainText"/>
        <w:snapToGrid w:val="0"/>
        <w:spacing w:line="360" w:lineRule="auto"/>
        <w:rPr>
          <w:rFonts w:hAnsi="宋体" w:cs="Times New Roman"/>
        </w:rPr>
      </w:pPr>
      <w:r w:rsidRPr="001F1B21">
        <w:rPr>
          <w:rFonts w:hAnsi="宋体" w:cs="Times New Roman"/>
        </w:rPr>
        <w:t>5.下列对材料相关内容的概括和分析，正确的一项是(3分)(　　)</w:t>
      </w:r>
    </w:p>
    <w:p w:rsidR="00BA5043" w:rsidRPr="001F1B21" w:rsidP="00BA5043">
      <w:pPr>
        <w:pStyle w:val="PlainText"/>
        <w:snapToGrid w:val="0"/>
        <w:spacing w:line="360" w:lineRule="auto"/>
        <w:rPr>
          <w:rFonts w:hAnsi="宋体" w:cs="Times New Roman"/>
        </w:rPr>
      </w:pPr>
      <w:r w:rsidRPr="001F1B21">
        <w:rPr>
          <w:rFonts w:hAnsi="宋体" w:cs="Times New Roman"/>
        </w:rPr>
        <w:t>A.天津滨海新区图书馆由于创造了一个科技感和美感十足的巨型中厅，所以在网上迅速“爆红”。</w:t>
      </w:r>
    </w:p>
    <w:p w:rsidR="00BA5043" w:rsidRPr="001F1B21" w:rsidP="00BA5043">
      <w:pPr>
        <w:pStyle w:val="PlainText"/>
        <w:snapToGrid w:val="0"/>
        <w:spacing w:line="360" w:lineRule="auto"/>
        <w:rPr>
          <w:rFonts w:hAnsi="宋体" w:cs="Times New Roman"/>
        </w:rPr>
      </w:pPr>
      <w:r w:rsidRPr="001F1B21">
        <w:rPr>
          <w:rFonts w:hAnsi="宋体" w:cs="Times New Roman"/>
        </w:rPr>
        <w:t>B.“24小时智慧阅读空间”的地理环境和服务设施，都体现了政府以民为本、便民利民的理念。</w:t>
      </w:r>
    </w:p>
    <w:p w:rsidR="00BA5043" w:rsidRPr="001F1B21" w:rsidP="00BA5043">
      <w:pPr>
        <w:pStyle w:val="PlainText"/>
        <w:snapToGrid w:val="0"/>
        <w:spacing w:line="360" w:lineRule="auto"/>
        <w:rPr>
          <w:rFonts w:hAnsi="宋体" w:cs="Times New Roman"/>
        </w:rPr>
      </w:pPr>
      <w:r w:rsidRPr="001F1B21">
        <w:rPr>
          <w:rFonts w:hAnsi="宋体" w:cs="Times New Roman"/>
        </w:rPr>
        <w:t>C.河南许昌公共图书馆年轻灵动充满生机，滨海新区图书馆历史悠久庄严肃穆，但都很受欢迎。</w:t>
      </w:r>
    </w:p>
    <w:p w:rsidR="00BA5043" w:rsidRPr="001F1B21" w:rsidP="00BA5043">
      <w:pPr>
        <w:pStyle w:val="PlainText"/>
        <w:snapToGrid w:val="0"/>
        <w:spacing w:line="360" w:lineRule="auto"/>
        <w:rPr>
          <w:rFonts w:hAnsi="宋体" w:cs="Times New Roman"/>
        </w:rPr>
      </w:pPr>
      <w:r w:rsidRPr="001F1B21">
        <w:rPr>
          <w:rFonts w:hAnsi="宋体" w:cs="Times New Roman"/>
        </w:rPr>
        <w:t>D.许昌玻璃房吸引了越来越多的市民来阅读，实现了阅读“零门槛”，让书香成为一种文化标签。</w:t>
      </w:r>
    </w:p>
    <w:p w:rsidR="00BA5043" w:rsidRPr="001F1B21" w:rsidP="00BA5043">
      <w:pPr>
        <w:pStyle w:val="PlainText"/>
        <w:snapToGrid w:val="0"/>
        <w:spacing w:line="360" w:lineRule="auto"/>
        <w:rPr>
          <w:rFonts w:hAnsi="宋体" w:cs="Times New Roman"/>
        </w:rPr>
      </w:pPr>
      <w:r w:rsidRPr="001F1B21">
        <w:rPr>
          <w:rFonts w:hAnsi="宋体" w:cs="Times New Roman"/>
        </w:rPr>
        <w:t>6.请根据上述材料，概述怎样才能更好地建设“书香社会”。(4分)</w:t>
      </w:r>
    </w:p>
    <w:p w:rsidR="00BA5043" w:rsidRPr="001F1B21" w:rsidP="00BA5043">
      <w:pPr>
        <w:pStyle w:val="PlainText"/>
        <w:snapToGrid w:val="0"/>
        <w:spacing w:line="360" w:lineRule="auto"/>
        <w:rPr>
          <w:rFonts w:hAnsi="宋体" w:cs="Times New Roman"/>
        </w:rPr>
      </w:pPr>
      <w:r w:rsidRPr="001F1B21">
        <w:rPr>
          <w:rFonts w:hAnsi="宋体" w:cs="Times New Roman"/>
        </w:rPr>
        <w:t>答：　</w:t>
      </w: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BA5043" w:rsidRPr="001F1B21" w:rsidP="00BA5043">
      <w:pPr>
        <w:pStyle w:val="PlainText"/>
        <w:snapToGrid w:val="0"/>
        <w:spacing w:line="360" w:lineRule="auto"/>
        <w:rPr>
          <w:rFonts w:hAnsi="宋体" w:cs="Times New Roman"/>
        </w:rPr>
      </w:pPr>
    </w:p>
    <w:p w:rsidR="00F94CFD" w:rsidRPr="001F1B21" w:rsidP="00F94CFD">
      <w:pPr>
        <w:pStyle w:val="Heading2"/>
        <w:jc w:val="center"/>
        <w:rPr>
          <w:rFonts w:ascii="宋体" w:eastAsia="宋体" w:hAnsi="宋体"/>
          <w:sz w:val="21"/>
        </w:rPr>
      </w:pPr>
      <w:r w:rsidRPr="001F1B21">
        <w:rPr>
          <w:rFonts w:ascii="宋体" w:eastAsia="宋体" w:hAnsi="宋体"/>
          <w:sz w:val="21"/>
        </w:rPr>
        <w:br w:type="page"/>
      </w:r>
      <w:r w:rsidRPr="001F1B21">
        <w:rPr>
          <w:rFonts w:ascii="宋体" w:eastAsia="宋体" w:hAnsi="宋体"/>
          <w:sz w:val="21"/>
        </w:rPr>
        <w:t>答案精析</w:t>
      </w:r>
    </w:p>
    <w:p w:rsidR="00F94CFD" w:rsidRPr="001F1B21" w:rsidP="00F94CFD">
      <w:pPr>
        <w:pStyle w:val="PlainText"/>
        <w:snapToGrid w:val="0"/>
        <w:spacing w:line="360" w:lineRule="auto"/>
        <w:rPr>
          <w:rFonts w:hAnsi="宋体" w:cs="Times New Roman"/>
        </w:rPr>
      </w:pPr>
      <w:r w:rsidRPr="001F1B21">
        <w:rPr>
          <w:rFonts w:hAnsi="宋体" w:cs="Times New Roman"/>
        </w:rPr>
        <w:t>1</w:t>
      </w:r>
      <w:r w:rsidRPr="001F1B21">
        <w:rPr>
          <w:rFonts w:hAnsi="宋体"/>
        </w:rPr>
        <w:t>.</w:t>
      </w:r>
      <w:r w:rsidRPr="001F1B21">
        <w:rPr>
          <w:rFonts w:hAnsi="宋体" w:cs="Times New Roman"/>
        </w:rPr>
        <w:t>D　[回答此题，要在通读全文的基础上，仔细体会画线句的含意。由分析可知，之前人们仅仅看到印象派大师在画作中使用了绚丽的色彩，然而后人经过研究发现，这些色彩可能并不是画家的随意泼墨，而是与大气污染物有着密切的联系，这说明环境污染早已有之。这就是人们“沮丧”的原因。]</w:t>
      </w:r>
    </w:p>
    <w:p w:rsidR="00F94CFD" w:rsidRPr="001F1B21" w:rsidP="00F94CFD">
      <w:pPr>
        <w:pStyle w:val="PlainText"/>
        <w:snapToGrid w:val="0"/>
        <w:spacing w:line="360" w:lineRule="auto"/>
        <w:rPr>
          <w:rFonts w:hAnsi="宋体" w:cs="Times New Roman"/>
        </w:rPr>
      </w:pPr>
      <w:r w:rsidRPr="001F1B21">
        <w:rPr>
          <w:rFonts w:hAnsi="宋体" w:cs="Times New Roman"/>
        </w:rPr>
        <w:t>2.B　[文中未提及约翰·托宁因对莫奈旅居伦敦期间的作品的研究而使其对天气状况的研究取得了突破性的进展，也没有说他一开始就研究了莫奈旅居伦敦期间的作品。]</w:t>
      </w:r>
    </w:p>
    <w:p w:rsidR="00F94CFD" w:rsidRPr="001F1B21" w:rsidP="00F94CFD">
      <w:pPr>
        <w:pStyle w:val="PlainText"/>
        <w:snapToGrid w:val="0"/>
        <w:spacing w:line="360" w:lineRule="auto"/>
        <w:rPr>
          <w:rFonts w:hAnsi="宋体" w:cs="Times New Roman"/>
        </w:rPr>
      </w:pPr>
      <w:r w:rsidRPr="001F1B21">
        <w:rPr>
          <w:rFonts w:hAnsi="宋体" w:cs="Times New Roman"/>
        </w:rPr>
        <w:t>3.①当时的工业革命导致了严重的污染。②艺术作品是客观现实的反映，艺术家忠实于生活。</w:t>
      </w:r>
    </w:p>
    <w:p w:rsidR="00F94CFD" w:rsidRPr="001F1B21" w:rsidP="00F94CFD">
      <w:pPr>
        <w:pStyle w:val="PlainText"/>
        <w:snapToGrid w:val="0"/>
        <w:spacing w:line="360" w:lineRule="auto"/>
        <w:rPr>
          <w:rFonts w:hAnsi="宋体" w:cs="Times New Roman"/>
        </w:rPr>
      </w:pPr>
      <w:r w:rsidRPr="001F1B21">
        <w:rPr>
          <w:rFonts w:hAnsi="宋体" w:cs="Times New Roman"/>
        </w:rPr>
        <w:t>解析　要回答狄更斯和画家对天空雾气的描绘趋同的原因，可以从他们当时所处的自然环境的特点以及其艺术作品的特点两个角度分析。从狄更斯和画家所处的自然环境的特点的角度分析，工业革命导致了严重的污染，而他们生活在这样的环境中；从其艺术作品的角度分析，艺术作品反映生活。</w:t>
      </w:r>
    </w:p>
    <w:p w:rsidR="00F94CFD" w:rsidRPr="001F1B21" w:rsidP="00F94CFD">
      <w:pPr>
        <w:pStyle w:val="PlainText"/>
        <w:snapToGrid w:val="0"/>
        <w:spacing w:line="360" w:lineRule="auto"/>
        <w:rPr>
          <w:rFonts w:hAnsi="宋体" w:cs="Times New Roman"/>
        </w:rPr>
      </w:pPr>
      <w:r w:rsidRPr="001F1B21">
        <w:rPr>
          <w:rFonts w:hAnsi="宋体" w:cs="Times New Roman"/>
        </w:rPr>
        <w:t>4.D　[“都在逐年增加”错，省市购书经费并非逐年增加。]</w:t>
      </w:r>
    </w:p>
    <w:p w:rsidR="00F94CFD" w:rsidRPr="001F1B21" w:rsidP="00F94CFD">
      <w:pPr>
        <w:pStyle w:val="PlainText"/>
        <w:snapToGrid w:val="0"/>
        <w:spacing w:line="360" w:lineRule="auto"/>
        <w:rPr>
          <w:rFonts w:hAnsi="宋体" w:cs="Times New Roman"/>
        </w:rPr>
      </w:pPr>
      <w:r w:rsidRPr="001F1B21">
        <w:rPr>
          <w:rFonts w:hAnsi="宋体" w:cs="Times New Roman"/>
        </w:rPr>
        <w:t>5.B　[A项结合材料一第一段内容分析可知，网上迅速“爆红”的原因错。C项结合材料一内容“它囊括中外，兼及古今，能够对人们的思想道德、文化科学、体育艺术素养进行全方位的熏陶。它们或历史悠久庄严肃穆，或年轻灵动充满生机，不应该都长着相似的面孔”分析可知，“历史悠久庄严肃穆”错。D项结合材料四内容分析，“实现了阅读‘零门槛’”错。]</w:t>
      </w:r>
    </w:p>
    <w:p w:rsidR="002E3EB1" w:rsidRPr="001F1B21" w:rsidP="00F94CFD">
      <w:pPr>
        <w:pStyle w:val="PlainText"/>
        <w:snapToGrid w:val="0"/>
        <w:spacing w:line="360" w:lineRule="auto"/>
        <w:rPr>
          <w:rFonts w:hAnsi="宋体" w:cs="Times New Roman"/>
        </w:rPr>
      </w:pPr>
      <w:r w:rsidRPr="001F1B21">
        <w:rPr>
          <w:rFonts w:hAnsi="宋体" w:cs="Times New Roman"/>
        </w:rPr>
        <w:t>6.①政府方面：一方面加大公共图书馆，尤其是基层图书馆的财政拨款及购书专项基金的投入，提高硬件标准；另一方面加大宣传力度，改善服务态度，降低阅读的门槛，提升软件实力。②民众方面：充分认识读书的价值，逐步培养良好的读书习惯，提升个人的文化素养，共同营造“书香社会”的良好氛围。</w:t>
      </w:r>
    </w:p>
    <w:p w:rsidR="002E3EB1" w:rsidRPr="001F1B21" w:rsidP="002B00F0">
      <w:pPr>
        <w:rPr>
          <w:rFonts w:ascii="宋体" w:hAnsi="宋体"/>
        </w:rPr>
      </w:pPr>
    </w:p>
    <w:sectPr w:rsidSect="00DA4362">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EB1"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E3EB1" w:rsidP="002E3EB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EB1"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1B21">
      <w:rPr>
        <w:rStyle w:val="PageNumber"/>
        <w:noProof/>
      </w:rPr>
      <w:t>5</w:t>
    </w:r>
    <w:r>
      <w:rPr>
        <w:rStyle w:val="PageNumber"/>
      </w:rPr>
      <w:fldChar w:fldCharType="end"/>
    </w:r>
  </w:p>
  <w:p w:rsidR="002E3EB1" w:rsidP="002E3EB1">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D36BE"/>
    <w:rsid w:val="001F1B21"/>
    <w:rsid w:val="002A33D8"/>
    <w:rsid w:val="002B00F0"/>
    <w:rsid w:val="002D36BE"/>
    <w:rsid w:val="002E3EB1"/>
    <w:rsid w:val="0041588F"/>
    <w:rsid w:val="00775BB8"/>
    <w:rsid w:val="00882853"/>
    <w:rsid w:val="008972CE"/>
    <w:rsid w:val="009F2516"/>
    <w:rsid w:val="00BA5043"/>
    <w:rsid w:val="00F94CF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36BE"/>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F94CFD"/>
    <w:rPr>
      <w:rFonts w:ascii="Arial" w:eastAsia="黑体" w:hAnsi="Arial"/>
      <w:b/>
      <w:bCs/>
      <w:kern w:val="2"/>
      <w:sz w:val="32"/>
      <w:szCs w:val="32"/>
    </w:rPr>
  </w:style>
  <w:style w:type="paragraph" w:styleId="BalloonText">
    <w:name w:val="Balloon Text"/>
    <w:basedOn w:val="Normal"/>
    <w:link w:val="Char1"/>
    <w:rsid w:val="002E3EB1"/>
    <w:rPr>
      <w:sz w:val="18"/>
      <w:szCs w:val="18"/>
    </w:rPr>
  </w:style>
  <w:style w:type="character" w:customStyle="1" w:styleId="Char1">
    <w:name w:val="批注框文本 Char"/>
    <w:basedOn w:val="DefaultParagraphFont"/>
    <w:link w:val="BalloonText"/>
    <w:rsid w:val="002E3EB1"/>
    <w:rPr>
      <w:kern w:val="2"/>
      <w:sz w:val="18"/>
      <w:szCs w:val="18"/>
    </w:rPr>
  </w:style>
  <w:style w:type="character" w:styleId="PageNumber">
    <w:name w:val="page number"/>
    <w:basedOn w:val="DefaultParagraphFont"/>
    <w:rsid w:val="002E3EB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038;&#25324;.TIF"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673</Words>
  <Characters>3841</Characters>
  <Application>Microsoft Office Word</Application>
  <DocSecurity>0</DocSecurity>
  <Lines>32</Lines>
  <Paragraphs>9</Paragraphs>
  <ScaleCrop>false</ScaleCrop>
  <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