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10FEB" w:rsidRPr="00FE684F" w:rsidP="00FE684F">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3pt;margin-top:833pt;margin-left:878pt;mso-position-horizontal-relative:page;mso-position-vertical-relative:top-margin-area;position:absolute;z-index:251658240">
            <v:imagedata r:id="rId4" o:title=""/>
          </v:shape>
        </w:pict>
      </w:r>
      <w:bookmarkStart w:id="0" w:name="_GoBack"/>
      <w:r w:rsidRPr="00FE684F" w:rsidR="00DE35FD">
        <w:rPr>
          <w:rFonts w:hAnsi="宋体" w:cs="Times New Roman"/>
          <w:b/>
          <w:color w:val="FF0000"/>
          <w:sz w:val="28"/>
          <w:szCs w:val="28"/>
        </w:rPr>
        <w:t>专题</w:t>
      </w:r>
      <w:r w:rsidRPr="00FE684F" w:rsidR="00DE35FD">
        <w:rPr>
          <w:rFonts w:hAnsi="宋体" w:cs="Times New Roman" w:hint="eastAsia"/>
          <w:b/>
          <w:color w:val="FF0000"/>
          <w:sz w:val="28"/>
          <w:szCs w:val="28"/>
        </w:rPr>
        <w:t>十</w:t>
      </w:r>
      <w:r w:rsidRPr="00FE684F" w:rsidR="00DE35FD">
        <w:rPr>
          <w:rFonts w:hAnsi="宋体" w:cs="Times New Roman"/>
          <w:b/>
          <w:color w:val="FF0000"/>
          <w:sz w:val="28"/>
          <w:szCs w:val="28"/>
        </w:rPr>
        <w:t>　论述类文本阅读</w:t>
      </w:r>
    </w:p>
    <w:p w:rsidR="00410FEB" w:rsidRPr="00FE684F" w:rsidP="00410FEB">
      <w:pPr>
        <w:pStyle w:val="PlainText"/>
        <w:snapToGrid w:val="0"/>
        <w:spacing w:line="360" w:lineRule="auto"/>
        <w:jc w:val="center"/>
        <w:rPr>
          <w:rFonts w:hAnsi="宋体" w:cs="Times New Roman"/>
          <w:szCs w:val="24"/>
        </w:rPr>
      </w:pPr>
      <w:bookmarkEnd w:id="0"/>
      <w:r>
        <w:rPr>
          <w:rFonts w:hAnsi="宋体" w:cs="Times New Roman"/>
          <w:szCs w:val="24"/>
        </w:rPr>
        <w:pict>
          <v:shape id="_x0000_i1026" type="#_x0000_t75" style="width:142.5pt;height:18.75pt">
            <v:imagedata r:id="rId5" r:href="rId6" o:title=""/>
          </v:shape>
        </w:pic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一、(2018·全国卷Ⅱ)阅读下面的文字，完成1～3题。(共9分，每小题3分)</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所谓“被遗忘权”，即数据主体有权要求数据控制者永久删除有关数据主体的个人数据，有权被互联网遗忘，除非数据的保留有合法的理由。在大数据时代，数字化、廉价的存储器、易于提取、全球性覆盖作为数字化记忆发展的四大驱动力，改变了记忆的经济学，使得海量的数字化记忆不仅唾手可得，甚至比选择性删除所耗费的成本更低。记忆和遗忘的平衡反转，往事正像刺青一样刻在我们的数字肌肤上；遗忘变得困难，而记忆却成了常态。“被遗忘权”的出现，意在改变数据主体难以“被遗忘”的格局，赋予数据主体对信息进行自决控制的权利，并且有着更深的调节、修复大数据时代数字化记忆伦理的意义。</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首先，“被遗忘权”不是消极地防御自己的隐私不受侵犯，而是主体能动地控制个人的信息，并界定个人隐私的边界，进一步说，是主体争取主动建构个人数字化记忆与遗忘的权利。与纯粹的“隐私权”不同，“被遗忘权”更是一项主动性的权利，其权利主体可自主决定是否行使该项权利对网络上已经被公开的有关个人信息进行删除，是数据主体对自己的个人信息所享有的排除他人非法利用的权利。</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其次，在数据快速流转且难以被遗忘的大数据时代，“被遗忘权”对调和人类记忆与遗忘的平衡具有重要的意义。如果在大数据时代不能“被遗忘”，那意味着人们容易被囚禁在数字化记忆的监狱之中。不论是个人的遗忘还是社会的遗忘，在某种程度上都是一种个人及社会修复和更新的机制，让我们能够从过去的经验中吸取教训，面对现实，想象未来，而不仅仅被过去的记忆所束缚。</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最后，大数据技术加速了人的主体身份的“被数据化”，人成为数据的表征，个人生活的方方面面都在以数据的形式被记忆。大数据所建构的主体身份会导致一种危险，即“我是”与“我喜欢”变成了“你是”与“你将会喜欢”；大数据的力量可以利用信息去推动、劝服、影响甚至限制我们的认同。也就是说，不是主体想把自身塑造成什么样的人，而是客观的数据来显示主体是什么样的人，技术过程和结果反而成为支配人、压抑人的力量。进一步说，数字化记忆与认同背后的核心问题在于权力不由数据主体掌控，而是数据控制者选择和建构关于我们的数字化记忆，并塑造我们的认同。这种大数据的分类系统并不是客观中立的，而是指向特定的目的。因此，适度的、合理的遗忘，是对这种数字化记忆霸权的抵抗。</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(摘编自袁梦倩《“被遗忘权”之争：</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大数据时代的数字化记忆与隐私边界》)</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w:t>
      </w:r>
      <w:r w:rsidRPr="00FE684F">
        <w:rPr>
          <w:rFonts w:hAnsi="宋体" w:cs="MingLiU_HKSCS" w:hint="eastAsia"/>
          <w:szCs w:val="24"/>
        </w:rPr>
        <w:t>．</w:t>
      </w:r>
      <w:r w:rsidRPr="00FE684F">
        <w:rPr>
          <w:rFonts w:hAnsi="宋体" w:cs="Times New Roman"/>
          <w:szCs w:val="24"/>
        </w:rPr>
        <w:t>下列关于原文内容的理解和分析，正确的一项是(3分)(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A．由于数字化记忆的发展，记忆与遗忘的平衡发生了反转，记忆变得更加容易。</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B．人的主体身份所以被数据化，是因为个人信息选择性删除所耗费的成本太高。</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C．“被遗忘权”和“隐私权”的提出都是为了对抗大数据，不过前者更积极一些。</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D．我们要对抗数字化记忆霸权，就要成为数据控制者并建构他人的数字化记忆。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筛选并整合文中的信息的能力。B.“是因为个人信息选择性删除所耗费的成本太高”表述不当，原文第四段是说“大数据技术加速了人的主体身份的‘被数据化’”。C.“‘被遗忘权’和‘隐私权’的提出都是为了对抗大数据”不准确，原文最后一段是说“适度的、合理的遗忘，是对这种数字化记忆霸权的抵抗”，指的是“被遗忘权”是对“数字化记忆霸权的抵抗”，而不是对抗大数据；且文章并没有提到“隐私权”对抗大数据。D.“就要成为数据控制者并建构他人的数字化记忆”于文无据。</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A．文章以数字化记忆带来的威胁为立论的事实基础，论证了人被数据控制的危险。</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B．通过讨论大数据对隐私、记忆及主体身份等的影响，文章把论证推向了深入。</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C．与重视个人隐私的写作动机有关，文章着重论证了大数据对个人权利的影响。</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D．文章通过分析数字化记忆可能带来的问题，对我们的认同问题作出了全新论证。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答题时注意分析文章的思路、中心论点和分论点的关系。D.“对我们的认同问题作出了全新论证”表述错误，文章论证的对象并不是我们的认同问题，而是通过论述大数据对我们的认同造成的影响来阐述“被遗忘权”的意义。</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3．根据原文内容，下列说法不正确的一项是(3分)(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A．大数据时代的个人留在网上的信息太多，如果没有主动权，就难以保护隐私。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B．遗忘是个人和社会的一种修复和更新机制，是我们面对现实和想象未来的基础。</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C．技术有支配和压抑人的力量，这不仅影响个人隐私安全，而且影响整个社会。</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D．大数据的分类系统不是中立的，这将影响数据的客观呈现，使用时应有所</w:t>
      </w:r>
      <w:r w:rsidRPr="00FE684F">
        <w:rPr>
          <w:rFonts w:hAnsi="宋体" w:cs="Times New Roman"/>
          <w:b/>
          <w:color w:val="FF0000"/>
          <w:szCs w:val="24"/>
        </w:rPr>
        <w:t>辨析</w:t>
      </w:r>
      <w:r w:rsidRPr="00FE684F">
        <w:rPr>
          <w:rFonts w:hAnsi="宋体" w:cs="Times New Roman"/>
          <w:szCs w:val="24"/>
        </w:rPr>
        <w:t>。</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概括作者在文中的观点态度的能力。解答时首先要通读全文，明确论述话题，然后概括每一段的观点，最后将选项信息归位，与原文比对理解，找出答案。B.绝对化。原文第三段是说“不论是个人的遗忘还是社会的遗忘，在某种程度上都是一种个人及社会修复和更新的机制”，选项去掉了“在某种程度上”的限制。</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二、(2017·全国卷Ⅰ)阅读下面的文字，完成1～3题。(共9分，每小题3分)</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气候正义是环境正义在气候变化领域的具体发展和体现。2000年前后，一些非政府组织承袭环境正义运动的精神，开始对气候变化的影响进行伦理审视，气候正义便应运而生。气候正义关注的核心主要是在气候容量有限的前提下，如何界定各方的权利和义务，主要表现为一种社会正义或法律正义。</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从空间维度来看，气候正义涉及不同国家和地区之间公平享有气候容量的问题，也涉及一国内部不同区域之间公平享有气候容量的问题，因而存在气候变化的国际公平和国内公平问题。公平原则应以满足人的基本需求作为首要目标，每个人都有义务将自己的“碳足迹”控制在合理范围之内。比如说，鉴于全球排放空间有限，而发达国家已实现工业化，在分配排放空间时，就应首先满足发展中国家在衣食住行和公共基础设施建设等方面的基本发展需求，同时遏制在满足基本需求之上的奢侈排放。</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从时间维度来看，气候正义涉及当代人与后代之间公平享有气候容量的问题，因而存在代际权利义务关系问题。这一权利义务关系，从消极方面看，体现为当代人如何约束自己的行为来保护地球气候系统，以将同等质量的气候系统交给后代；从积极方面看，体现为当代人为自己及后代设定义务。就代际公平而言，地球上的自然资源在代际分配问题上应实现代际共享，避免“生态赤字”。因为，地球这个行星上的自然资源包括气候资源，是人类所有成员，包括上一代、这一代和下一代，共同享有和掌管的。我们这一代既是受益人，有权使用并受益于地球，又是受托人，为下一代掌管地球。我们作为地球的受托管理人，对子孙后代负有道德义务。实际上，气候变化公约或协定把长期目标设定为保护气候系统免受人为原因引起的温室气体排放导致的干扰，其目的正是保护地球气候系统，这是符合后代利益的。至少从我们当代人已有的科学认识来看，气候正义的本质是为了保护后代的利益，而非为其设定义务。</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总之，气候正义既有空间的维度，也有时间的维度，既涉及国际公平和国内公平，也涉及代际公平和代内公平。因此，气候正义的内涵是：所有国家、地区和个人都有平等地使用、享受气候容量的权利，也应公平地分担稳定气候系统的义务和成本。</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(摘编自曹明德《中国参与国际气候治理的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法律立场和策略：以气候正义为视角》)</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1．下列关于原文内容的理解和分析，正确的一项是(3分)(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A．为了应对气候变化，非政府组织承袭环境正义运动的精神，提出了气候正义。</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B．与气候变化有关的国际公平和国内公平问题，实际上就是限制排放的问题。</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C．气候正义中的义务问题，是指我们对后代负有义务，而且要为后代设定义务。</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D．已有的科学认识和对利益分配的认识都会影响我们对气候正义内涵的理解。</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筛选并整合文中的信息的能力。A.“为了应对气候变化”无中生有。另外原文并没有说“气候正义”是由非政府组织提出的。B.把“国际公平和国内公平问题”简单地归纳为“限制排放的问题”，表述不当，属于以偏概全。C.“为后代设定义务”表述不当，原文第三段结尾说“气候正义的本质是为了保护后代的利益，而非为其设定义务”，可见该项不合事实。</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A．文章从两个维度审视气候正义，并较为深入地阐述了后一维度的两个方面。</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B．文章以气候容量有限为立论前提，并由此指向了气候方面的社会正义问题。</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C．文章在论证中以大量篇幅阐述代际公平，彰显了立足未来的气候正义立场。</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D．对于气候正义，文章先交代背景，接着逐层分析，最后梳理出了它的内涵。</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C.“立足未来的气候正义立场”错误。答题信息主要集中在第三段中的“从时间维度来看，气候正义涉及当代人与后代之间公平享有气候容量的问题，因而存在代际权利义务关系问题”“我们作为地球的受托管理人，对子孙后代负有道德义务”，由此可知作者立足点是当代。</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3．根据原文内容，下列说法不正确的一项是(3分)(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A．如果气候容量无限，就不必对气候变化进行伦理审视、讨论气候的正义问题。</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B．如果气候变化公约或协定的长期目标能落实，那么后代需求就可以得到保证。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C．只有每个人都控制“碳足迹”，从而实现了代际共享，才能避免“生态赤字”。</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D．气候容量的公平享有是很复杂的问题，气候正义只是理解该问题的一种视角。</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概括作者在文中的观点态度的能力。B.表述绝对化。原文说“气候变化公约或协定把长期目标设定为保护气候系统免受人为原因引起的温室气体排放导致的干扰，其目的正是保护地球气候系统，这是符合后代利益的”，只是表示气候变化公约或协定和后代利益是相符合的，并不能说落实“气候变化公约或协定的长期目标”就能保证后代需求。</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三、(2016·全国卷Ⅱ)阅读下面的文字，回答1～3题。(共9分，每小题3分)</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人们常说“小说是讲故事的艺术”，但故事不等于小说，故事讲述人与小说家也不能混为一谈。就传统而言，讲故事的人讲述亲身经历或道听途说的故事，口耳相传，把它们转化为听众的经验；小说家则通常记录见闻传说，虚构故事，经过艺术处理，把它们变成小说交给读者。</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除流传形式上的简单差异外，早期小说和故事的本质区别并不明显，经历和见闻是它们的共同要素。在传媒较为落后的过去，作为远行者的商人和水手最适合充当故事讲述人的角色，故事的丰富程度与远行者的游历成正比。受此影响，国外古典小说也常以人物的经历为主线组织故事。《荷马史诗》《一千零一夜》都是描述某种特殊的经历和遭遇，《堂吉诃德》中的故事是堂吉诃德的行侠奇遇和所见所闻，17世纪欧洲的流浪汉小说也体现为游历见闻的连缀。在中国，民间传说和历史故事为志怪类和史传类的小说提供了用之不竭的素材，话本等古典小说形式也显示出小说和传统故事的亲密关系。</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虚构的加强使小说和传统故事之间的区别清晰起来。小说中的故事可以来自想象，不一定是作者亲历亲闻。小说家常闭门构思，作品大多诞生于他们离群索居的时候。小说家可以</w:t>
      </w:r>
      <w:r w:rsidRPr="00FE684F">
        <w:rPr>
          <w:rFonts w:hAnsi="宋体" w:cs="Times New Roman"/>
          <w:szCs w:val="24"/>
        </w:rPr>
        <w:t>闲坐在布宜诺斯艾利斯的图书馆中，或者在巴黎一间终年不见阳光的阁楼里，杜撰他们想象中的历险故事。但是，一名水手也许要历尽千辛万苦才能把在东印度群岛听到的事带回伦敦；一个匠人漂泊一生，积攒下无数的见闻、掌故和趣事，当他晚年坐在火炉边给孩子们讲述这一切的时候，他本人就是故事的一部分。传统故事是否值得转述，往往只取决于故事本身的趣味性和可流传性。与传统讲故事的方式不同，小说家一般并不单纯转述故事，他是在从事故事的制作和生产，有深思熟虑的讲述目的。</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就现代小说而言，虚构一个故事并非其首要功能，现代小说的繁荣对应的是故事不同程度的减损或逐渐消失。现代小说家对待故事的方式复杂多变，以实现他们特殊的叙事目的。小说家呈现人生，有时会写到难以言喻的个人经验，他们会调整讲故事的方式，甚至将虚构和表述的重心挪到故事之外。在这些小说家笔下，故事成了幌子，故事之外的附加信息显得更有意味。19世纪末期以来，小说家对小说故事性的破坏日趋强烈。这时，一个故事的好坏并不看它的“成色”如何，而是取决于讲故事的方式。契诃夫曾经把那些不好好讲故事的小说家称为“耍弄蹩脚花招的人”，但这种花招的大量出现也有其内在的合理性——他们要摆脱陈旧的故事模式，摆脱虚假的因果关系和矫揉造作的戏剧冲突，甚至摆脱故事本身。现代小说家认为，传统的故事模式早已失去了弹性和内在活力，也失去了起初的存在价值，那些千百年来一直在给小说提供养料的故事模式已经成为制约想象力的障碍之一。</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(摘编自格非《塞壬的歌声》)</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1．下列关于原文内容的表述，不正确的一项是(3分)(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A．讲故事的人不一定是小说家，小说家在讲故事的时候，不像传统的故事讲述者那么依赖亲身经历和耳闻目睹的事。</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B．传统故事和早期小说的本质差异在于，前者是故事的口耳相传，后者则是由作家创作加工后的游历见闻。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C．17世纪的欧洲流浪汉小说和部分中国古典小说，或在叙述形式方面，或在素材来源方面，都受到了传统故事的影响。</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D．当小说家越来越依靠想象力虚构故事的时候，小说和传统故事在内容来源方面的差异使它们之间的关联不再像过去那么紧密。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“传统故事和早期小说的本质差异在于……”曲解文意，文章第二段开头的表述是“除流传形式上的简单差异外，早期小说和故事的本质区别并不明显，经历和见闻是它们的共同要素”。</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2．下列理解和分析，不符合原文意思的一项是(3分)(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A．水手在伦敦讲东印度群岛的所见所闻，匠人在火炉边讲自己的人生经历，他们讲的故事各有特点，但同属于传统故事模式。</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B．传统的故事讲述者大多会讲述那些为听众喜闻乐见的事，小说家则会根据自己的写</w:t>
      </w:r>
      <w:r w:rsidRPr="00FE684F">
        <w:rPr>
          <w:rFonts w:hAnsi="宋体" w:cs="Times New Roman"/>
          <w:szCs w:val="24"/>
        </w:rPr>
        <w:t>作意图审慎构思，创作新的故事。</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C．现代小说不太注重一个故事如何来讲，因为故事情节已不再是现代小说最重要的因素，人们更注意故事之外的附加意味。</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D．现代小说家不喜欢传统故事模式，视它为绊脚石，是因为他们觉得这种故事模式显得僵化古板，已经不能促进小说艺术的发展。</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由文章第四段“一个故事的好坏并不看它的‘成色’如何，而是取决于讲故事的方式”可知，现代小说重视的是一个故事如何来讲，而非“不太注重”。此外“故事情节已不再是现代小说最重要的因素”与“现代小说不太注重一个故事如何来讲”之间也不存在因果关系。且“更注意故事之外的附加意味”的应该是“小说家”本人，而非“人们”。</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3．根据原文内容，下列说法不正确的一项是(3分)(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A．传统的故事讲述人如果把自己的故事记录下来，进行加工整理，就能形成一种和早期小说接近的文字，有些讲述人也会成为小说家。</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B．现代小说家尝试用新的方式讲故事，会削弱小说的故事性，这将降低小说对虚构的依赖，小说的个人表达功能却会因此得到强化。</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C．契诃夫不大认可“不好好讲故事的小说家”，对他们的做法评价不高，由此可知当时这股写作潮流与他的创作理念相悖。</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D．现代小说的发展加剧了故事在小说中的衰变，与此同时，随着现代传媒的不断发展，传统的故事讲述方式也可能消亡。</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“这将降低小说对虚构的依赖”有误，原文第四段是“甚至将虚构和表述的重心挪到故事之外……显得更有意味”可知，小说对虚构的依赖并没有降低。</w:t>
      </w:r>
    </w:p>
    <w:p w:rsidR="00410FEB" w:rsidRPr="00FE684F" w:rsidP="00410FEB">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6985"/>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08" w:type="dxa"/>
            <w:shd w:val="clear" w:color="auto" w:fill="auto"/>
            <w:vAlign w:val="center"/>
          </w:tcPr>
          <w:p w:rsidR="00410FEB" w:rsidRPr="00FE684F" w:rsidP="00FC4F56">
            <w:pPr>
              <w:pStyle w:val="PlainText"/>
              <w:snapToGrid w:val="0"/>
              <w:spacing w:line="360" w:lineRule="auto"/>
              <w:jc w:val="center"/>
              <w:rPr>
                <w:rFonts w:hAnsi="宋体" w:cs="Times New Roman"/>
                <w:szCs w:val="24"/>
              </w:rPr>
            </w:pPr>
            <w:r w:rsidRPr="00FE684F">
              <w:rPr>
                <w:rFonts w:hAnsi="宋体" w:cs="Times New Roman"/>
                <w:szCs w:val="24"/>
              </w:rPr>
              <w:t>专题</w:t>
            </w:r>
          </w:p>
          <w:p w:rsidR="00410FEB" w:rsidRPr="00FE684F" w:rsidP="00FC4F56">
            <w:pPr>
              <w:pStyle w:val="PlainText"/>
              <w:snapToGrid w:val="0"/>
              <w:spacing w:line="360" w:lineRule="auto"/>
              <w:jc w:val="center"/>
              <w:rPr>
                <w:rFonts w:hAnsi="宋体" w:cs="Times New Roman"/>
                <w:szCs w:val="24"/>
              </w:rPr>
            </w:pPr>
            <w:r w:rsidRPr="00FE684F">
              <w:rPr>
                <w:rFonts w:hAnsi="宋体" w:cs="Times New Roman"/>
                <w:szCs w:val="24"/>
              </w:rPr>
              <w:t>内容</w:t>
            </w:r>
          </w:p>
        </w:tc>
        <w:tc>
          <w:tcPr>
            <w:tcW w:w="6985" w:type="dxa"/>
            <w:shd w:val="clear" w:color="auto" w:fill="auto"/>
            <w:vAlign w:val="center"/>
          </w:tcPr>
          <w:p w:rsidR="00410FEB" w:rsidRPr="00FE684F" w:rsidP="00FC4F56">
            <w:pPr>
              <w:pStyle w:val="PlainText"/>
              <w:snapToGrid w:val="0"/>
              <w:spacing w:line="360" w:lineRule="auto"/>
              <w:rPr>
                <w:rFonts w:hAnsi="宋体" w:cs="MingLiU_HKSCS"/>
                <w:szCs w:val="24"/>
              </w:rPr>
            </w:pPr>
            <w:r w:rsidRPr="00FE684F">
              <w:rPr>
                <w:rFonts w:hAnsi="宋体" w:cs="Times New Roman"/>
                <w:szCs w:val="24"/>
              </w:rPr>
              <w:t>理解文中重要概念的含义、重要句子的含意；筛选并整合文中的信息；分析论点、论据和论证方法；分析概括作者在文中的观点态度。</w:t>
            </w:r>
          </w:p>
        </w:tc>
      </w:tr>
      <w:tr w:rsidTr="00FC4F56">
        <w:tblPrEx>
          <w:tblW w:w="0" w:type="auto"/>
          <w:jc w:val="center"/>
          <w:tblLayout w:type="fixed"/>
          <w:tblLook w:val="0000"/>
        </w:tblPrEx>
        <w:trPr>
          <w:jc w:val="center"/>
        </w:trPr>
        <w:tc>
          <w:tcPr>
            <w:tcW w:w="1008" w:type="dxa"/>
            <w:shd w:val="clear" w:color="auto" w:fill="auto"/>
            <w:vAlign w:val="center"/>
          </w:tcPr>
          <w:p w:rsidR="00410FEB" w:rsidRPr="00FE684F" w:rsidP="00FC4F56">
            <w:pPr>
              <w:pStyle w:val="PlainText"/>
              <w:snapToGrid w:val="0"/>
              <w:spacing w:line="360" w:lineRule="auto"/>
              <w:jc w:val="center"/>
              <w:rPr>
                <w:rFonts w:hAnsi="宋体" w:cs="Times New Roman"/>
                <w:szCs w:val="24"/>
              </w:rPr>
            </w:pPr>
            <w:r w:rsidRPr="00FE684F">
              <w:rPr>
                <w:rFonts w:hAnsi="宋体" w:cs="Times New Roman"/>
                <w:szCs w:val="24"/>
              </w:rPr>
              <w:t>考查</w:t>
            </w:r>
          </w:p>
          <w:p w:rsidR="00410FEB" w:rsidRPr="00FE684F" w:rsidP="00FC4F56">
            <w:pPr>
              <w:pStyle w:val="PlainText"/>
              <w:snapToGrid w:val="0"/>
              <w:spacing w:line="360" w:lineRule="auto"/>
              <w:jc w:val="center"/>
              <w:rPr>
                <w:rFonts w:hAnsi="宋体" w:cs="Times New Roman"/>
                <w:szCs w:val="24"/>
              </w:rPr>
            </w:pPr>
            <w:r w:rsidRPr="00FE684F">
              <w:rPr>
                <w:rFonts w:hAnsi="宋体" w:cs="Times New Roman"/>
                <w:szCs w:val="24"/>
              </w:rPr>
              <w:t>形式</w:t>
            </w:r>
          </w:p>
        </w:tc>
        <w:tc>
          <w:tcPr>
            <w:tcW w:w="6985" w:type="dxa"/>
            <w:shd w:val="clear" w:color="auto" w:fill="auto"/>
            <w:vAlign w:val="center"/>
          </w:tcPr>
          <w:p w:rsidR="00410FEB" w:rsidRPr="00FE684F" w:rsidP="00FC4F56">
            <w:pPr>
              <w:pStyle w:val="PlainText"/>
              <w:snapToGrid w:val="0"/>
              <w:spacing w:line="360" w:lineRule="auto"/>
              <w:rPr>
                <w:rFonts w:hAnsi="宋体" w:cs="MingLiU_HKSCS"/>
                <w:szCs w:val="24"/>
              </w:rPr>
            </w:pPr>
            <w:r w:rsidRPr="00FE684F">
              <w:rPr>
                <w:rFonts w:hAnsi="宋体" w:cs="Times New Roman"/>
                <w:szCs w:val="24"/>
              </w:rPr>
              <w:t>①全国卷、天津卷等为单选题；②其他省份试卷另有填空题、简答题。</w:t>
            </w:r>
          </w:p>
        </w:tc>
      </w:tr>
      <w:tr w:rsidTr="00FC4F56">
        <w:tblPrEx>
          <w:tblW w:w="0" w:type="auto"/>
          <w:jc w:val="center"/>
          <w:tblLayout w:type="fixed"/>
          <w:tblLook w:val="0000"/>
        </w:tblPrEx>
        <w:trPr>
          <w:jc w:val="center"/>
        </w:trPr>
        <w:tc>
          <w:tcPr>
            <w:tcW w:w="1008" w:type="dxa"/>
            <w:shd w:val="clear" w:color="auto" w:fill="auto"/>
            <w:vAlign w:val="center"/>
          </w:tcPr>
          <w:p w:rsidR="00410FEB" w:rsidRPr="00FE684F" w:rsidP="00FC4F56">
            <w:pPr>
              <w:pStyle w:val="PlainText"/>
              <w:snapToGrid w:val="0"/>
              <w:spacing w:line="360" w:lineRule="auto"/>
              <w:jc w:val="center"/>
              <w:rPr>
                <w:rFonts w:hAnsi="宋体" w:cs="Times New Roman"/>
                <w:szCs w:val="24"/>
              </w:rPr>
            </w:pPr>
            <w:r w:rsidRPr="00FE684F">
              <w:rPr>
                <w:rFonts w:hAnsi="宋体" w:cs="Times New Roman"/>
                <w:szCs w:val="24"/>
              </w:rPr>
              <w:t>趋势</w:t>
            </w:r>
          </w:p>
          <w:p w:rsidR="00410FEB" w:rsidRPr="00FE684F" w:rsidP="00FC4F56">
            <w:pPr>
              <w:pStyle w:val="PlainText"/>
              <w:snapToGrid w:val="0"/>
              <w:spacing w:line="360" w:lineRule="auto"/>
              <w:jc w:val="center"/>
              <w:rPr>
                <w:rFonts w:hAnsi="宋体" w:cs="Times New Roman"/>
                <w:szCs w:val="24"/>
              </w:rPr>
            </w:pPr>
            <w:r w:rsidRPr="00FE684F">
              <w:rPr>
                <w:rFonts w:hAnsi="宋体" w:cs="Times New Roman"/>
                <w:szCs w:val="24"/>
              </w:rPr>
              <w:t>分析</w:t>
            </w:r>
          </w:p>
        </w:tc>
        <w:tc>
          <w:tcPr>
            <w:tcW w:w="6985" w:type="dxa"/>
            <w:shd w:val="clear" w:color="auto" w:fill="auto"/>
            <w:vAlign w:val="center"/>
          </w:tcPr>
          <w:p w:rsidR="00410FEB" w:rsidRPr="00FE684F" w:rsidP="00FC4F56">
            <w:pPr>
              <w:pStyle w:val="PlainText"/>
              <w:snapToGrid w:val="0"/>
              <w:spacing w:line="360" w:lineRule="auto"/>
              <w:rPr>
                <w:rFonts w:hAnsi="宋体" w:cs="Times New Roman"/>
                <w:szCs w:val="24"/>
              </w:rPr>
            </w:pPr>
            <w:r w:rsidRPr="00FE684F">
              <w:rPr>
                <w:rFonts w:hAnsi="宋体" w:cs="Times New Roman"/>
                <w:szCs w:val="24"/>
              </w:rPr>
              <w:t>①题型稳定，全国卷、天津卷等仍将采用单选题形式；②部分自主命题试卷仍会综合采用单选题、填空题、简答题的形式。</w:t>
            </w:r>
          </w:p>
        </w:tc>
      </w:tr>
    </w:tbl>
    <w:p w:rsidR="00410FEB" w:rsidRPr="00FE684F" w:rsidP="00FE684F">
      <w:pPr>
        <w:pStyle w:val="PlainText"/>
        <w:snapToGrid w:val="0"/>
        <w:spacing w:line="360" w:lineRule="auto"/>
        <w:ind w:firstLine="420" w:firstLineChars="200"/>
        <w:jc w:val="left"/>
        <w:rPr>
          <w:rFonts w:hAnsi="宋体" w:cs="Times New Roman"/>
          <w:szCs w:val="24"/>
        </w:rPr>
      </w:pPr>
      <w:r>
        <w:rPr>
          <w:rFonts w:hAnsi="宋体" w:cs="Times New Roman"/>
          <w:szCs w:val="24"/>
        </w:rPr>
        <w:pict>
          <v:shape id="_x0000_i1028" type="#_x0000_t75" style="width:142.5pt;height:18.75pt">
            <v:imagedata r:id="rId9" r:href="rId10" o:title=""/>
          </v:shape>
        </w:pict>
      </w:r>
    </w:p>
    <w:p w:rsidR="00410FEB" w:rsidRPr="00FE684F" w:rsidP="00410FEB">
      <w:pPr>
        <w:pStyle w:val="PlainText"/>
        <w:snapToGrid w:val="0"/>
        <w:spacing w:line="360" w:lineRule="auto"/>
        <w:jc w:val="left"/>
        <w:rPr>
          <w:rFonts w:hAnsi="宋体" w:cs="MingLiU_HKSCS"/>
          <w:szCs w:val="24"/>
        </w:rPr>
      </w:pPr>
      <w:r w:rsidRPr="00FE684F">
        <w:rPr>
          <w:rFonts w:hAnsi="宋体" w:cs="Times New Roman"/>
          <w:szCs w:val="24"/>
        </w:rPr>
        <w:t>题组1设题陷阱</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偷换概念</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(2015·全国卷Ⅱ)阅读下面的文章，完成后面题目。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艺术品的接受在过去并不被看作是重要的美学问题，20世纪解释学兴起，一个名为“接</w:t>
      </w:r>
      <w:r w:rsidRPr="00FE684F">
        <w:rPr>
          <w:rFonts w:hAnsi="宋体" w:cs="Times New Roman"/>
          <w:szCs w:val="24"/>
        </w:rPr>
        <w:t>受美学”的美学分支应运而生，于是研究艺术品的接受成为艺术美学中的显学。</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过去，通常只是从艺术家的立场出发，将创作看作艺术家审美经验的结晶过程，作品完成就意味着创作完成。而从接受美学的角度来看，这一完成并不说明创作已经终结，它只说明创作的第一阶段告一段落，接下来是读者或观众、听众的再创作。由于未被阅读的作品的价值包括审美价值仅仅是一种可能的存在，只有通过阅读，它才转化为现实的存在，因此对作品的接受具有艺术本体的意义，也就是说，接受者也是艺术创作的主体之一。</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艺术文本即作品对于接受者来说具有什么意义呢？接受美学的创始人、德国的伊瑟尔说艺术文本是一个“召唤结构”，因为文本有“空白”“空缺”“否定”三个要素。所谓“空白”，是说它有一些东西没有表达出来，作者有意不写或不明写，要接受者用自己的生活经验与想象去补充；所谓“空缺”，是语言结构造成的各个图像间的空白，接受者在阅读文本时要把一个个句子表现的图像片断连接起来，整合成一个有机的图像系统；所谓“否定”，指文本对接受者生活的现实具有否定的功能，它能引导接受者对现实进行反思和批判。由此可见，文本的召唤性需要接受者呼应和配合，完成艺术品的第二次创作。正如中国古典美学中的含蓄与简洁，其有限的文字常常引发出读者脑海中的丰富意象。</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接受者作为主体，他对文本的接受不是被动的。海德格尔提出“前理解”，即理解前的心理文化结构，这种结构影响着理解。理解不可能是文本意义的重现，而只能是文本与“前理解”的统一。这样，文本与接受就呈现出一种相互作用的关系：一方面文本在相当程度上规定了接受者理解的范围、方向，让理解朝它的本义靠拢；另一方面，文本不可能将接受者完全制约住、规范住，接受者必然会按照自己的方式去理解作品，于是不可避免地就会出现误读或创造。从某种意义上说，理解就是误读，创造也是误读，不要希望所有的接受者都持同样的理解，也不要希望所有的理解都与艺术家的本旨一致，那样并不意味着艺术作品的成功。</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文本一经产生就成为历史，它所表达的思想感情、所反映的生活，都只能是过去的，而理解总是现在进行时。当我们接受历史上的艺术作品时，我们当然可以设身处地想象古人的生活，体验古人的思想感情，但我们毕竟是现代人，只能按照我们现在的心理文化结构去理解古人。当然，任何理解都只能是个体的理解，但个体毕竟是与群体相通的，所以个体的理解中也有普遍性。理解作为现实的行为具有通向实践的品格，艺术品正是通过理解走向现实，并在生活中发挥作用的。不是别的，正是理解擦亮了艺术品的生命之光。</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(摘编自陈望衡《艺术是什么》)</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1．下列关于原文内容的表述，不正确的一项是(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A．在过去，艺术品的接受并不属于美学的研究范围，而当接受美学诞生以后，关于艺术品的接受的研究就成为艺术美学中的一门显学。</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B．在接受美学诞生以前，人们一般的认识是：整个创作过程就是艺术家的审美经验不断结晶的过程，艺术品一旦形成，创作也就大功告成。</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C．接受美学认为，艺术品在艺术家手中产生出来，这只是艺术创作的第一阶段，读者、观众、听众对艺术品的接受是艺术创作的继续。</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D．通过读者、观众和听众的接受，艺术作品的价值才从一种可能的存在转化为现实的存在，从这个意义上说，接受也属于艺术创作的一部分。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筛选并整合文中的信息的能力。“在过去，艺术品的接受并不属于美学的研究范围”偷换概念。原文第一段说的是“艺术品的接受在过去并不被看作是重要的美学问题”，由此可知，艺术品的接受在过去属于美学的研究范围，只是并不重要。</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张冠李戴</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阅读下面的文章，完成后面题目。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越文化是一种半农耕半海洋的文化。越地先民是中国境内最早致力于农业生产的人群之一，在新石器时代早期，上山文化、跨湖桥文化的先民已开始种植水稻。同时，越人又是中国乃至世界都罕见的海洋性族群。据分析人类学的研究成果，古越人曾沿中国东部海岸线北上，活跃于两广、福建、江浙、山东乃至东北的沿海地区，他们的后裔成为现在这些地区汉族的重要组成部分，后来海上丝绸之路的主要对外港口便分布于古越人最先开拓的海岸沿线。此外，广泛分布于太平洋诸岛屿的马来人群及波利尼西亚人群，他们实际上是距今12000年左右才与中国境内的百越族群分道扬镳的。</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越人习水便舟，文献多有记载，越地是中国航海技术的策源地。2002年杭州萧山跨湖桥遗址出土了一条目前所见中国最早的独木舟遗骸，距今约7000～8000年。据吴春明先生研究，它有可能是一艘适于海上航行的边架艇独木帆舟，可与波利尼西亚人群的舟船相联系。在河姆渡文化、马家浜文化、良渚文化的遗址中，还发现有不少的舟船遗物，如近来在宁波余姚田螺山的河姆渡文化遗址发现了一件距今7000年的完整独木舟模型器，可以看出当时的独木舟已经脱离简陋的原始状态。越地的航海传统延续至今，其孕育的先进航海技术影响了中国沿海乃至整个环太平洋地区，为后来的海上丝绸之路奠定了技术基础。</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一般认为海上丝绸之路源起于汉代，但是，越地在汉代甚至更早便已经开展对外贸易。越地出产的优质丝绸、瓷器、茶叶等产品走出国门，中国文化也通过越地这一重要窗口向周边地区尤其是日本列岛扩散。日本列岛、朝鲜半岛对中国文化的吸收以及东亚文化圈的最终确立，与越地这一海上丝绸之路的重要环节密不可分。</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(摘编自《越文化与海上丝绸之路》)</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w:t>
      </w:r>
      <w:r w:rsidRPr="00FE684F">
        <w:rPr>
          <w:rFonts w:hAnsi="宋体" w:cs="MingLiU_HKSCS" w:hint="eastAsia"/>
          <w:szCs w:val="24"/>
        </w:rPr>
        <w:t>．</w:t>
      </w:r>
      <w:r w:rsidRPr="00FE684F">
        <w:rPr>
          <w:rFonts w:hAnsi="宋体" w:cs="Times New Roman"/>
          <w:szCs w:val="24"/>
        </w:rPr>
        <w:t>下列关于原文内容的理解和分析，不正确的一项是(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A．越地先民是中国最早致力于农业生产的族群之一，也是中国乃至世界罕见的海洋性族群。</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B．如今分布在太平洋诸岛屿的马来人群及波利尼西亚人群，原本和中国境内的百越同属一个族群。</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C．2002年杭州出土的目前所见中国最早的独木舟遗骸，证明当时的独木舟已经脱离简陋的原始状态。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D．越地出产的丝绸、瓷器、茶叶等产品走出国门，影响了周边地区尤其是日本列岛的文化。</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张冠李戴。“证明当时的独木舟已经脱离简陋的原始状态”的是宁波发现的独木舟模型器，而非杭州出土的独木舟遗骸。</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无中生有</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阅读下面的文章，完成后面题目。</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汉代篆书的文化精神</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篆书的应用遍及汉代日常生活的各个方面，其书法艺术也在继承了秦代小篆写法的基础上有了更高的审美追求和技术表现。</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秦王朝统一六国之后，秦始皇采用了丞相李斯的建议，在文字政策上“罢其不与秦文合者”，以秦系文字为基础统一全国文字。秦代篆书最具代表性的书法作品就是李斯所写的泰山、峄山、琅琊台、会稽、之罘等刻石。李斯是法家人物的代表，法家之于审美采取的是“好质而恶饰”的主张，反对各种形式的装饰。这也正是李斯小篆“省大篆之繁缛以趋简易”、笔画粗细均等、结体平正匀齐的原因。</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汉代篆书线条一改秦篆的“玉箸”式样，提按波变，跌宕流动，充满了节奏变化。起笔时或藏或露，少有雷同；收笔处或作悬针，或为垂露，姿态万千；转折处或提或按，方圆兼备，虚实相生。瓦当铭文更能随形布势，随意生态，活泼多变。缪篆屈曲回环，鸟虫篆，笔画作鸟、虫、鱼状，更是将篆书的装饰意味、浪漫色彩发挥到了极致。</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“圣人立象以尽意”，汉代流动瑰丽的篆书，所表达的正是汉代追求浪漫、重视装饰的审美追求。森严的秦文化之“法”与浪漫的楚文化之“意”在汉代篆书里交融，开创了中国书法史上辉煌的一页。</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w:t>
      </w:r>
      <w:r w:rsidRPr="00FE684F">
        <w:rPr>
          <w:rFonts w:hAnsi="宋体" w:cs="MingLiU_HKSCS" w:hint="eastAsia"/>
          <w:szCs w:val="24"/>
        </w:rPr>
        <w:t>．</w:t>
      </w:r>
      <w:r w:rsidRPr="00FE684F">
        <w:rPr>
          <w:rFonts w:hAnsi="宋体" w:cs="Times New Roman"/>
          <w:szCs w:val="24"/>
        </w:rPr>
        <w:t>下列理解和分析，不符合原文内容的一项是(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A．秦始皇灭六国后采用李斯的建议，在文字政策上“罢其不与秦文合者”，以秦系文字为基础统一了全国文字。</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B．汉代篆书在书法艺术上继承了秦代小篆的写法，但与秦代小篆相比，它又有更高的审美追求和艺术表现。</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C．汉代篆书流动瑰丽，表达了汉代崇尚浪漫、重视装饰的审美追求，书写了中国书法史上辉煌的一页。</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D．汉代篆书在汉代繁荣发展，它的应用遍及汉代日常生活的各个方面，成为当时人人必须掌握的一种字体。</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“成为当时人人必须掌握的一种字体”属无中生有。原文第一段只是提到了“篆书的应用遍及汉代日常生活的各个方面”。</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因果混乱</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一、颠倒因果</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阅读下面的文章，完成后面题目。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官德在现代社会是一种主体性道德，具体表现为官德的主导性、示范性和高层次性，这意味着官员是社会道德活动中的中坚力量和“领头羊”。道德的主体是现实的人，而人又是处在社会历史活动中的实践着的人。在道德生活中，道德活动的主体是多层次的，根据其不同层面可以分为个体主体和群体主体。个体主体，即在一定社会关系中从事道德实践活动的个人，它是社会道德活动主体的基本单元。群体主体，即为着共同的利益和目标而协同从事道德实践活动的人的各种共同体，这种共同体小到家庭、班组、各种社会团体，大到民族、政党和国家。个体主体和群体主体在道德活动中所处的地位也不尽相同。个体主体一般处于个别或部分的地位，而群体主体则是处于一般或整体的地位。同时，就个体主体而言，越是对社会起作用大的人，其道德要求就越高。就群体主体而言，它是由若干个体主体所组成的，也因在社会生活中的作用不同，其主体性也不同，道德要求也不同。无论从个体主体，还是群体主体而言，官员都是一个社会的道德主体。</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政治路线确定之后，干部就是决定的因素。”正因为官员的这种决定作用，社会和人民才赋予他们以道德上的极高期望，官德在社会生活中尤其是道德建设中起着举足轻重的作用。处于社会领导地位、担负不同领域和不同社会层面领导职务的领导干部的道德取向直接显示着社会的道德导向。官德建设取得的成效，具有社会道德建设其他内容均不可能具有的强烈示范效应。</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另外，官德在本质上是一种政治道德，而政治道德始终处于社会道德的核心地位。在中国传统道德中，政治和道德是融为一体的，表现出明显的伦理政治化和政治伦理化的特征。……难怪一些思想家把德治、政德看作是国家兴亡的重大问题。</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(摘编自李建华《官德在法治化时代的独特价值》)</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4</w:t>
      </w:r>
      <w:r w:rsidRPr="00FE684F">
        <w:rPr>
          <w:rFonts w:hAnsi="宋体" w:cs="MingLiU_HKSCS" w:hint="eastAsia"/>
          <w:szCs w:val="24"/>
        </w:rPr>
        <w:t>．</w:t>
      </w:r>
      <w:r w:rsidRPr="00FE684F">
        <w:rPr>
          <w:rFonts w:hAnsi="宋体" w:cs="Times New Roman"/>
          <w:szCs w:val="24"/>
        </w:rPr>
        <w:t>根据原文内容，下列说法不正确的一项是(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A．道德活动的主体是现实的人，而官德在现代社会是一种主体性道德，那么可以说，官员是现代社会中最主要的道德主体。</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B．家庭、班级、各种社会团体、民族、政党和国家等，都是道德活动的群体主体，这类群体主体在很多方面都迥异于个体主体。</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C．中国古代一些思想家把德治、政德看作是国家兴亡的重大问题，由此看来，在中国传统道德中，政治和道德是融为一体的。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D．国家官员就是一个社会的道德主体，不管是从个体主体来看，还是从群体主体来看，他们对社会影响作用大，其道德要求相应更高。</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颠倒因果。由原文第三段内容可知，因为“在中国传统道德中，政治和道德是融为一体的”，所以“中国古代一些思想家把德治、政德看作是国家兴亡的重大问题”。</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二、强加因果</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阅读下面的文字，完成后面题目。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最近，中华有声历史资料数字化工程惹上了官司。有人批评其质量堪忧，有人质疑其在数字化过程中，将一些珍贵的原声母带交给日本公司，使这些母版文物有可能被盗录和损毁。谁是谁非，当事人各执一词。然而此次事件，使传统文化资源的数字化工程得以进入公众视野。</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保护音像遗产就是保护我们的集体记忆，通过数字化方式保存我国珍贵的音像档案意义重大，但关键在于其获得永久性保存后，如何才能变成活的文化。在全球化、信息化、数字化时代，传统文化资源面临着双重悖论。</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第一重悖论，在全球化时代，大众流行文化成为传统文化的掘墓人。同时，全球化时代又呼唤传统文化的复兴。以电影、电视、流行音乐为代表的大众流行文化，用“全球通用”的审美标准席卷全球，鲸吞蚕食各国各地区传统文化的生存空间，迅速消弭多样性、异质化的地方性文化。这种全球趋同化的大众流行文化浪潮，使得很多非西方社会的民族和人群，愈益面临失去独特文化身份的危险。只有接续传统文化的根脉，复兴传统文化资源，我们才能在全球化浪潮中站稳脚根，获得文化身份和价值情感认同。</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第二重悖论，信息化、数字化既给传统文化的生存发展带来威胁，也为其重焕生机提供契机。为什么从前人们喜欢看戏，现在不喜欢呢？这变化的背后就是信息化、数字化的技术力量。在信息、交通都不发达，文化娱乐活动匮乏时，建立在地域文化基础上的传统文化，得以较好地传承发展。随着信息和交通的便捷，尤其是进入信息化、数字化时代后，地域色彩浓厚的传统文化面临巨大冲击。当人们打开智能手机，就可以观看电影、电视、视频时，很多人就不愿意走进剧院看那些古老的地方剧种了。传统戏剧如此，其他领域和门类的传统文化亦然。但是，信息化、数字化是一种技术力量，它们打破了传统文化的传播限制，使其有可能在全球范围内获取知音。如3D全景声京剧电影《霸王别姬》，从2014年登陆好莱坞杜比剧院后热度一直不减。这种蕴藏着强烈独特的民族文化基因密码、原汁原味的中国传统文化，在不同的国家和地区，不同的文化语境里被认同、被赞叹，真正走向了世界。</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对于传统文化的抢救、保护和传承，一定要跳出“死文化”的陈旧观念，不能把传统文化变成活标本、木乃伊。要充分借助信息化、数字化的技术力量，借助大众流行文化巨大的承载力和传播力，使传统文化以鲜活的形态，渗透到人们的日常生活之中，成为大众文化趣味、艺术审美的一部分。唯有如此，传统文化才能再度获得复兴和繁荣。</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(摘编自封寿炎《数字时代，传统文化如何保护传承》)</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5．下列关于原文内容的理解和分析，不正确的一项是(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A．中华有声历史资料数字化工程因质量堪忧且存在盗录和损毁母版文物的可能而惹上官司。</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B．不只是传统戏剧，其他领域门类的传统文化也面临着信息化、数字化所带来的严重威胁。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C．信息化、数字化的技术力量改变了人们的文化娱乐方式，很多人不愿走进剧院观赏戏剧。</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D．文中用“木乃伊”形容通过数字化方式获得永存后却因脱离大众而失去生命力的传统文化。</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因果不当。从文中第一段“使这些母版文物有可能被盗录和损毁。谁是谁非，当事人各执一词”及后面的论述，不能得出“中华有声历史资料数字化工程”惹上官司是“质量堪忧且存在盗录和损毁母版文物的可能”这两个原因。</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以偏概全</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阅读下面的文字，完成后面题目。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关于中国文化的起源众说纷纭，巫起源说是其中之一。中国文明以农耕文明起家，巫就成了中国文化的母胎。</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在一个无法迁徙的农耕部落中，如何消融自然的变化所引起的恐慌，就是这个群体顺利生存下去的关键因素。人类社会要通过一系列反复的宗教节日与自然发展取得协调一致，“在庆祝节日时，人类社会积极地参加进了季节变化所表现出来的宇宙危机中”。在顺利度过这个宇宙危机的仪式中，巫无疑起到了决定性的作用，因为他是宇宙危机以及协调危机仪式中的唯一解释者，他阐发着来自宇宙自然之神的意见以及宇宙危机协调的效果，他的阐释决定了部落是生活在希望还是恐惧中。在氏族部落时期，巫是部落的领袖，因为通神而为大家信服崇拜，享有崇高的权威。</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巫即是萨满，在满语中是智者，也就是拥有智慧的人。但是此智者非希腊之智者。希腊智者运用理性和知识，找出对方的逻辑漏洞，在辩论中取胜。萨满则相反，他的智慧不来自理性和经验，而是来自神灵的启示。萨满通过一种类似舞蹈的仪式，使神灵附在自己的身上，此时萨满和神灵即为一体，萨满说的话就是神灵的启示。</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巫如果想成功解读危机和灾难，在部落平民的眼中，就必须看到危机被解决的实际效果，如洪水退去、干旱结束、日食的太阳完全出现。如果巫身上仅仅是无理性的疯狂，显然无法实现这么重大的功能。所以巫除了在仪式中的动作和神灵附体式的颤抖之外，还要有关于天文、农业甚至医病的知识和技能。那么巫就成了当时知识的掌管者，他们负责解释任何一个引起恐慌的非自然事件，并且使人们看到这种解释的效果，从而使他们从恐惧中走出，进入正常的生产中去。</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中国诸子百家的起源，古代史书一直认为诸子出于王官，是周王室的王官流落于民间而</w:t>
      </w:r>
      <w:r w:rsidRPr="00FE684F">
        <w:rPr>
          <w:rFonts w:hAnsi="宋体" w:cs="Times New Roman"/>
          <w:szCs w:val="24"/>
        </w:rPr>
        <w:t>成。其实王官之学也是巫，因为周王室“国之大事，惟祀与戎”，所以巫在那个时代是一切事物的核心，百官皆由巫出。巫的一切规范和知识也就成为后来一切知识的起源，中医起源于此，天文历法源于此，史源于此。所以中国文化简言之，上层出于巫的理性化，巫到底层就成了民间信仰。著名哲学家李泽厚认为，在中国，巫的理性化完成的标志是周公旦的制礼作乐，它为中国文化传统奠定了根基。</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中国文化是在巫的根基上发展起来的，我们的社会、政治、文学等等，都与其有着密切的关联。巫造就了中国文化的特征，也形成了它特有的结构。在当下中国的社会现代化进程中，崇尚独立和透明规则的现代工商文化的建立，使巫文化慢慢退出。它被工商文明取代，不能不说其生命力仅限于特殊的时代背景，随着物质生活的丰裕，人的心态势必转变，那么巫文化也就逐渐让步于现代文明。</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(摘编自李道南《巫：中国文化的根基》)</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6．下列关于原文内容的理解和分析，不正确的一项是(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A．在农耕时期，人们对于自然变化的恐惧，为巫体现其决定性作用提供了基础。</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B．农耕部落中，举办宗教节日是人们希望与自然发展取得协调一致的一种努力。</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C．巫在宇宙危机的协调中起着独一无二的作用，他是宇宙自然之神意见的阐发者。</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D．巫解读危机取得成功的标志是洪水退去、干旱结束、日食的太阳完全出现。</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以偏概全。“洪水退去、干旱结束、日食的太阳完全出现”只是对巫所解读危机的部分举例，而非全部。</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混淆时态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阅读下面的文章，完成后面题目。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明初制定的《大明律》对商人服饰作出限制性规定，其中肯定包含压制商人炫耀财富的意思。明中叶迄于清末，商人服饰实际上毫无限制，炫耀奢华反而是常见的现象。有学者对明清商人的法权地位进行总体考察，认为商人在法律体系和司法实践中地位归属于庶民，并非处于被歧视或被排斥的地位；清朝对商业于帝制统治关系之重要性的了解超过明朝，商人与权贵的关联也更为深切，商人的法权地位更非低于庶民。</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明清两代政府皆曾推行大量旨在维系平稳市场秩序的政策。如皆规定牙行评估物价必须公允，如明初规定有“凡买卖诸物，两不和同，而把持行市，专取其利，及贩鬻之徒通同牙行，共为奸计，卖物以贱为贵，买物以贵为贱者，杖八十”。康熙五年(1666)，令各地将应征商税额数刊于直省商贾往来的关口孔道木榜上，“遍行晓谕”，防止官员自行加征。雍正时期曾对这些政策加以重申。其后历朝也曾屡次申明对官吏敲诈商人的惩罚措施。明清政府承认商人合伙经营的权利及商人为商业经营目的而结为社团的合法性。从明中晚期开始出现商业性会所，到清代大批商业、手工业会所发展起来，其制度环境大致保持一致。</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明清政府权力在维系比较平衡的商业运行秩序的同时，也会发生干扰商业的作用。其突</w:t>
      </w:r>
      <w:r w:rsidRPr="00FE684F">
        <w:rPr>
          <w:rFonts w:hAnsi="宋体" w:cs="Times New Roman"/>
          <w:szCs w:val="24"/>
        </w:rPr>
        <w:t>出表现，包括官方资本直接进入商业构成特权经营造成的市场不公平竞争，政府对食盐等生活必需品的严格控制，政府对矿业很长时期的垄断，政府对外贸过于严格的管控，税收标准公平性的欠缺，以及权力腐败造成的官吏对商人的敲诈与盘剥。所有这些，都没有使得明清时代商品经济窒息，但市场也从来没有能够获得完全依照经济规律运行的环境，没有达到普遍公平的情况。在这种制度环境下，明清已然存在的商业契约精神，始终受到权势原则的挤压，并未成为支配商业运行的普遍价值体系。</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(选自《明清商业与帝制体系关系论纲》，有删改)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7</w:t>
      </w:r>
      <w:r w:rsidRPr="00FE684F">
        <w:rPr>
          <w:rFonts w:hAnsi="宋体" w:cs="MingLiU_HKSCS" w:hint="eastAsia"/>
          <w:szCs w:val="24"/>
        </w:rPr>
        <w:t>．</w:t>
      </w:r>
      <w:r w:rsidRPr="00FE684F">
        <w:rPr>
          <w:rFonts w:hAnsi="宋体" w:cs="Times New Roman"/>
          <w:szCs w:val="24"/>
        </w:rPr>
        <w:t>根据原文内容，下列说法不正确的一项是(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A．清朝比明朝更加深刻地认识到了商业对于帝制统治关系的重要性，因此到清朝，商人与权贵的关系也更为深切，商人炫耀奢华才成为常见现象。</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B．清朝政府为推动商业发展提供了制度环境，在当时出现了诸多资本雄厚的商帮以及大量的商业会所、手工业会所。</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C．清朝官方资本直接进入商业构成特权经营造成的市场不公平竞争等原因，导致市场无法获得完全依照经济规律运行的环境。</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D．明清政府对商业的干扰使明清已有的商业契约精神，始终受到权势原则的挤压，无法成为支配商业运行的普遍价值体系。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混淆时间。“因此到清朝，……商人炫耀奢华才成为常见现象”错，原文第一段是“明中叶迄于清末，……炫耀奢华反而是常见的现象”。</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曲解文意</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阅读下面的文章，完成后面题目。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将祖先作为神明来看待的观念起源很早。《国语·鲁语》中有一段关于历代“祖先神”的记载：“有虞氏</w:t>
      </w:r>
      <w:r w:rsidRPr="00FE684F">
        <w:rPr>
          <w:rFonts w:hAnsi="宋体" w:cs="宋体" w:hint="eastAsia"/>
          <w:szCs w:val="24"/>
        </w:rPr>
        <w:t>禘</w:t>
      </w:r>
      <w:r w:rsidRPr="00FE684F">
        <w:rPr>
          <w:rFonts w:hAnsi="宋体" w:cs="楷体_GB2312" w:hint="eastAsia"/>
          <w:szCs w:val="24"/>
        </w:rPr>
        <w:t>黄帝而祖颛顼，郊尧而宗舜；夏后氏</w:t>
      </w:r>
      <w:r w:rsidRPr="00FE684F">
        <w:rPr>
          <w:rFonts w:hAnsi="宋体" w:cs="宋体" w:hint="eastAsia"/>
          <w:szCs w:val="24"/>
        </w:rPr>
        <w:t>禘</w:t>
      </w:r>
      <w:r w:rsidRPr="00FE684F">
        <w:rPr>
          <w:rFonts w:hAnsi="宋体" w:cs="楷体_GB2312" w:hint="eastAsia"/>
          <w:szCs w:val="24"/>
        </w:rPr>
        <w:t>黄帝而祖颛顼，郊鲧而宗禹；商人</w:t>
      </w:r>
      <w:r w:rsidRPr="00FE684F">
        <w:rPr>
          <w:rFonts w:hAnsi="宋体" w:cs="宋体" w:hint="eastAsia"/>
          <w:szCs w:val="24"/>
        </w:rPr>
        <w:t>禘</w:t>
      </w:r>
      <w:r w:rsidRPr="00FE684F">
        <w:rPr>
          <w:rFonts w:hAnsi="宋体" w:cs="楷体_GB2312" w:hint="eastAsia"/>
          <w:szCs w:val="24"/>
        </w:rPr>
        <w:t>舜而祖契，郊冥而宗汤；周人</w:t>
      </w:r>
      <w:r w:rsidRPr="00FE684F">
        <w:rPr>
          <w:rFonts w:hAnsi="宋体" w:cs="宋体" w:hint="eastAsia"/>
          <w:szCs w:val="24"/>
        </w:rPr>
        <w:t>禘</w:t>
      </w:r>
      <w:r w:rsidRPr="00FE684F">
        <w:rPr>
          <w:rFonts w:hAnsi="宋体" w:cs="楷体_GB2312" w:hint="eastAsia"/>
          <w:szCs w:val="24"/>
        </w:rPr>
        <w:t>喾而郊稷，祖文王而宗武王。</w:t>
      </w:r>
      <w:r w:rsidRPr="00FE684F">
        <w:rPr>
          <w:rFonts w:hAnsi="宋体" w:cs="Times New Roman"/>
          <w:szCs w:val="24"/>
        </w:rPr>
        <w:t>”这些列入国祀的“祖先神”可分为两类：一类是没有直接血缘关系，但是作为传说中重要的氏族英雄，成为超越氏族的远世共祖而被祭祀；另一类是有一定血缘关系的传说中的氏族英雄。</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另外，普通人的祖先要想从祖先升格成为“祖先神”，必须对国家、民族、社会以及家族做出过巨大贡献，就像《礼记·祭法》载“夫圣王之制祭祀也，法施于民则祀之，以死勤事则祀之，以劳定国则祀之，能御大灾则祀之，能捍大患则祀之”的标准，只有生前具备了以上的品质，死后才能升格为“祖先神”。</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普通人之所以把自己的祖先当作神明来崇拜，这与他们的神明崇拜观念密切相关。事实上，祖先与“祖先神”不同。祖先在生前是凡人，而“祖先神”则是超人。人们对祖先的祭祀，目的是要他荫庇子孙，使宗族兴旺，事业发达。而对“祖先神”的崇拜，除了希望他荫庇子孙外，更重要的是祈盼他能保境安民、捍患御灾。同时，“祖先神”也具有惩罚降祸的</w:t>
      </w:r>
      <w:r w:rsidRPr="00FE684F">
        <w:rPr>
          <w:rFonts w:hAnsi="宋体" w:cs="Times New Roman"/>
          <w:szCs w:val="24"/>
        </w:rPr>
        <w:t>能力，但绝不会无缘无故祸害自己的子孙后代，除非子孙对祖先不敬，或者做出违反族规国法的事，才会受到“祖先神”的惩罚。</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很多时候，祖先直接被称为鬼。称呼祖先为“祖先鬼”，有时是为了凸显对祖先的敬畏。在日常生活中，每逢祭祀性节日，对“祖先鬼”的祭祀也要特别隆重。由于“祖先鬼”爱作祟害人，使人生病，平日生活中严禁说出祖先的名字。一旦说了祖先的名字，就会把“祖先鬼”招引出来作祟害人。在另外一些地方，人们相信祖先是鬼，但和别的孤魂野鬼、恶鬼、厉鬼不同。祖先是家鬼、好鬼，不仅不会作祟害人，还能保护家人不受伤害。</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(摘编自凤凰网“文化国学栏目”)</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8．下列理解和分析，不符合原文意思的一项是(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A．《国语·鲁语》中关于历代“祖先神”的记载说明在虞夏时代，黄帝是氏族共同的祖先，被人们当作始祖祭祀。</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B．《礼记·祭法》的话说明普通人的祖先要升格为“祖先神”，就要对国家、民族、社会和家族做出过巨大贡献。</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C．祖先在生前是凡人，死后则是超人。人们崇拜的是他能荫庇子孙，使宗族兴旺，事业发达，还能保境安民，捍患御安。</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D．“祖先神”有荫庇子孙和惩罚降祸的能力，而“祖先鬼”爱作祟害人，使人生病，所以平日生活里严禁说出祖先的名字。</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曲解文意。“祖先在生前是凡人，死后则是超人”曲解原文第三段“祖先在生前是凡人，而‘祖先神’则是超人”的意思。</w:t>
      </w:r>
    </w:p>
    <w:p w:rsidR="00410FEB" w:rsidRPr="00FE684F" w:rsidP="00410FEB">
      <w:pPr>
        <w:pStyle w:val="PlainText"/>
        <w:snapToGrid w:val="0"/>
        <w:spacing w:line="360" w:lineRule="auto"/>
        <w:jc w:val="left"/>
        <w:rPr>
          <w:rFonts w:hAnsi="宋体" w:cs="MingLiU_HKSCS"/>
          <w:szCs w:val="24"/>
        </w:rPr>
      </w:pPr>
      <w:r w:rsidRPr="00FE684F">
        <w:rPr>
          <w:rFonts w:hAnsi="宋体" w:cs="Times New Roman"/>
          <w:szCs w:val="24"/>
        </w:rPr>
        <w:t>题组2论证思路</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一、(2018·全国卷Ⅰ)阅读下面的文字，完成后面题目。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诸子之学，兴起于先秦，当时一大批富有创见的思想家喷涌而出，蔚为思想史之奇观。在狭义上，诸子之学与先秦时代相联系；在广义上，诸子之学则不限于先秦而绵延于此后中国思想发展的整个过程，这一过程至今仍没有终结。</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诸子之学的内在品格是历史的承继性以及思想的创造性和突破性。“新子学”，即新时代的诸子之学，也应有同样的品格。这可以从“照着讲”和“接着讲”两个方面来理解。一般而言，“照着讲”主要是从历史角度对以往经典作具体的实证性研究，诸如训诂、校勘、文献编纂，等等。这方面的研究涉及对以往思想的回顾、反思，既应把握历史上的思想家实际说了些什么，也应总结其中具有创造性和生命力的内容，从而为今天的思考提供重要的思想资源。</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与“照着讲”相关的是“接着讲”。从思想的发展与诸子之学的关联看，“接着讲”接近诸子之学所具有的思想突破性的内在品格，它意味着延续诸子注重思想创造的传统。以近代以来中西思想的互动为背景，“接着讲”无法回避中西思想之间的关系。在中西之学已相</w:t>
      </w:r>
      <w:r w:rsidRPr="00FE684F">
        <w:rPr>
          <w:rFonts w:hAnsi="宋体" w:cs="Times New Roman"/>
          <w:szCs w:val="24"/>
        </w:rPr>
        <w:t>遇的背景下，“接着讲”同时展开为中西之学的交融，从更深的层次看，这种交融具体展开为世界文化的建构与发展过程。中国思想传统与西方的思想传统都构成了世界文化的重要资源，而世界文化的发展，则以二者的互动为其重要前提。这一意义上的“新子学”，同时表现为世界文化发展过程中创造性的思想系统。相对于传统的诸子之学，“新子学”无疑获得了新的内涵与新的形态。</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照着讲”和“接着讲”二者无法分离。从逻辑上说，任何新思想的形成，都不能从“无”开始，它总是基于既有的思想演进过程，并需要对既有思想范围进行反思批判。“照着讲”的意义，在于梳理以往的思想发展过程，打开前人思想的丰富内容，由此为后继的思想提供理论之源。在此意义上，“照着讲”是“接着讲”的出发点。然而，仅仅停留在“照着讲”，思想便容易止于过去，难以继续前行，可能无助于思想的创新。就此而言，在“照着讲”之后，需要继之以“接着讲”。“接着讲”的基本精神，是突破以往思想或推进以往思想，而新的思想系统的形成，则是其逻辑结果。进而言之，从现实的过程看，“照着讲”与“接着讲”总是相互渗入：“照着讲”包含对以往思想的逻辑重构与理论阐释，这种重构与阐释已内含“接着讲”；“接着讲”基于已有的思想发展，也相应地内含“照着讲”。“新子学”应追求“照着讲”与“接着讲”的统一。</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(摘编自杨国荣《历史视域中的诸子学》)</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A．文章采用了对比的论证手法，以突出“新子学”与历史上诸子之学的差异。</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B．文章指出理解“新子学”的品格可从两方面入手，并就二者的关系进行论证。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C．文章以中西思想交融互动为前提，论证“新子学”“接着讲”的必要和可能。</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D．文章论证“照着讲”“接着讲”无法分离，是按从逻辑到现实的顺序推进的。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A.选项表述不正确。本文的论述中心是“新子学”，详细地阐述了新子学“照着讲”和“接着讲”两个方面的内涵及其辩证关系，中间虽然涉及“新子学”是对历史上的诸子之学的内在继承与发展，但也只是笼统地提到历史上的诸子之学，并未对其特点加以详细阐述，也未将其与“新子学”加以对比，且文章的目的也并非“突出两者的差异”。</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二、(2018·全国卷Ⅲ)阅读下面的文字，完成下面题目。</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对城市而言，文明弹性是一个城市体在生存、创新、适应、应变等方面的综合状态、综合能力，是公共性与私人性之间、多样性与共同性之间、稳定性与变迁性之间、柔性与刚性之间的动态和谐。过于绵柔、松散，或者过于刚硬、密集，都是弹性不足或丧失的表现，是城市体出现危机的表征。当代城市社会，尤其需要关注以下文明弹性问题。</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其一，空间弹性。城市具有良好空间弹性的一个重要表现，是空间的私人性与公共性关系能够得到较为合理的处理。任何城市空间都是私人性与公共性的统一，空间弹性的核心问</w:t>
      </w:r>
      <w:r w:rsidRPr="00FE684F">
        <w:rPr>
          <w:rFonts w:hAnsi="宋体" w:cs="Times New Roman"/>
          <w:szCs w:val="24"/>
        </w:rPr>
        <w:t>题，就是如何实现空间的公共性与私人性的有机统一、具体转换。片面地强调空间的公共性或片面地强调空间的私人性，都会使城市发展失去基础。目前，人们更多地要求空间的私人性，注重把空间固化为永恒的私人所有物、占有物。这种以私人化为核心的空间固化倾向，造成城市空间弹性不足，正在成为制约城市发展的一个重要原因。</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其二，制度弹性。一种较为理想的、有弹性的城市制度，是能够在秩序与活力、生存与发展间取得相对平衡的制度。城市有其发展周期、发展阶段，对一个正在兴起的城市而言，其主要任务是聚集更多的发展资源、激活发展活力。而对一个已经发展起来的城市而言，人们会更为注重城市制度的稳定功能。但问题在于，即使是正在崛起的城市，也需要面对秩序与稳定的问题；即使是一个已经发展起来的城市，也需要面对新活力的激活问题。过于注重某种形式的城市制度，过于注重城市制度的某种目标，都是城市制度弹性不足、走向僵化的表现，都会妨害城市发展。</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其三，意义弹性。所谓城市的意义弹性，是指城市能够同时满足多样人群的不同层面的意义需要，并能够使不同的意义与价值在总体上达到平衡与和谐，不断形成具体的意义共同性。当一个城市体只允许一种、一个层面的意义存在时，这个城市体可能繁荣一时，但必然会走向衰落。当一个城市体只能满足某一类人的意义追求、意义需要时，这个城市体也往往会丧失活力。当一个城市体被某一类型的意义体系固化时，这个城市体往往不具有综合吸纳力、发展潜力。启蒙主义的片面化，理性主义的片面化，世俗主义的片面化，神圣主义的片面化，都会导致城市意义弹性的减弱，都会从根基处危害城市的健康可持续发展。</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综上所述，保持城市的空间弹性、制度弹性、意义弹性，并以此为基础，把握城市的类型构成与历史，建构城市命运共同体，对于城市社会的健康发展而言，是意义重大的。</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(摘编自陈忠《城市社会：</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文明多样性与命运共同体》)</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A．文章在理论论证的过程中提及空间被私人性固化的现状，有其现实的指向。</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B．文章区分了文明弹性的层面，也区分了城市体发展的阶段，论证结构清晰。</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C．文章注重分析具体概念的正反两面及相应的动态发展过程，具有辩证意味。</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D．文章借助“文明弹性”的概念，论证了建构城市命运共同体的重要路径。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本题考查分析论点、论据和论证方法的能力。C.以偏概全。“文章注重分析具体概念的正反两面及相应的动态发展过程”仅在论述制度弹性时有体现。</w:t>
      </w:r>
    </w:p>
    <w:p w:rsidR="00410FEB" w:rsidRPr="00FE684F" w:rsidP="00410FEB">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5pt;height:18.75pt">
            <v:imagedata r:id="rId11" r:href="rId12" o:title=""/>
          </v:shape>
        </w:pic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一、(2019·河北衡水市高三联考)阅读下面的文字，完成1～3 题。</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德尔斐神庙铭刻着古希腊苏格拉底“认识你自己”的警语。正是因为不能更好地认识自己，现代人或蹈入盲区，或导致与外部世界的种种冲突，造成一个又一个悲剧。克服人类各</w:t>
      </w:r>
      <w:r w:rsidRPr="00FE684F">
        <w:rPr>
          <w:rFonts w:hAnsi="宋体" w:cs="Times New Roman"/>
          <w:szCs w:val="24"/>
        </w:rPr>
        <w:t>种危机，需从这个根源入手。这方面文学大有可为，因其追问和塑造的恰恰是人的灵魂。</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首先，文学要有自审意识。真正伟大的作家本质上都是思想家。卡夫卡在文学上之所以伟大，就在于他用荒诞、悖谬等非同寻常的手法，有效地揭去长期掩饰在人们身上的那层“温情脉脉的面纱”，让人们进一步认清自己生存的真实境况。难怪20世纪马克思主义文艺理论家卢卡契承认卡夫卡“属于更高层次的现实主义家族”。建立自审意识要以对人性的认识为基础。现代社会一方面脱离了基本的食物链式生存方式；一方面仍然带有食物链的标记，随时准备弱肉强食。伟大诗人歌德的《浮士德》，在主人公开拓进取的道路上始终有一个名叫梅菲斯特费勒斯的魔鬼伴随，诱使浮士德犯错甚至犯罪。这个故事隐喻着人类的进步，也隐喻着个人的成长。如何让“人”对自己的内心有所审视？剧作家迪伦马特在《老妇还乡》中采用了“精神围攻法”；他让年轻时犯有过失的主人公陷入猝不及防的精神围攻之中。绝望中他开始反省自己，决心用生命赎罪。于是这个人物形象不再猥琐，甚至涅</w:t>
      </w:r>
      <w:r w:rsidRPr="00FE684F">
        <w:rPr>
          <w:rFonts w:hAnsi="宋体" w:cs="宋体" w:hint="eastAsia"/>
          <w:szCs w:val="24"/>
        </w:rPr>
        <w:t>槃</w:t>
      </w:r>
      <w:r w:rsidRPr="00FE684F">
        <w:rPr>
          <w:rFonts w:hAnsi="宋体" w:cs="楷体_GB2312" w:hint="eastAsia"/>
          <w:szCs w:val="24"/>
        </w:rPr>
        <w:t>出一种</w:t>
      </w:r>
      <w:r w:rsidRPr="00FE684F">
        <w:rPr>
          <w:rFonts w:hAnsi="宋体" w:cs="Times New Roman"/>
          <w:szCs w:val="24"/>
        </w:rPr>
        <w:t>“庄严的气派”。</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其次，文学要有危机意识和大生态意识，要以地球为背景建立一种大生命系统，关爱任何一种生命的现状与未来。优秀的作家不仅是思想家，还是预言家。早在20世纪20年代，德国表现主义作家德柏林就写了一部长篇小说《山岳、海洋与巨人》，预言人类对大自然无节制掠夺带来的后果，这种思考极为深远。与此同时，文学需有大爱意识，应该具有人类良知。原子弹问世后，迪伦马特写出了《物理学家》一剧，追问科学家：你是不顾一切地发明呢，还是以维护人类命运为前提呢？此剧让人不得不深刻反思。还有一种大爱体现于别样的人性关怀：一个在历史学家或法学家笔下的罪人，在文学家笔下，却很可能是一个值得同情的“人”——文学家有义务写出人的思想情感的矛盾性和复杂性。</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可以说，人类认识宇宙真理的路有多长，人类认识自我的路就有多长。这一论断的确立当使经常鼓噪或担心“文学死了”的人们安稳入睡了。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(摘编自叶廷芳《文学当助人识己》)</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1．下列关于原文内容的理解和分析，正确的一项是(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A．人类要从认识人本身入手避免危机出现，而追问塑造人灵魂的文学大有可为。</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B．真正伟大的作家思想深远，能用各种非凡手段让人们认清生存的真实境况。</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C．《老妇还乡》中采用“精神围攻法”是为了让“人”对自己的内心有所审视。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D．人的思想情感矛盾而且复杂，文学家对罪人的看法与历史学家或法学家不同。</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A．偷换说法，“避免危机出现”的说法不妥，由原文第一段“克服人类各种危机，需从这个根源入手”可知，应是“克服”危机；B.扩大范围，“能用各种非凡手段让人们认清生存的真实境况”是就卡夫卡而言的，不是就所有“真正伟大的作家”而言的；D.说法绝对，文中第三段是说“在文学家笔下”，文学家“很可能”同情罪人，不能说任何情况下“文学家对罪人的看法与历史学家或法学家”都“不同”。</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A．文章从助人和识己两方面，阐述了为克服人类危机，文学家应承担的任务。</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B．文章第二段以例证和引证，证明文学要以认识人性为基础，培养自审意识。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C．文章面向未来，从深、广两个维度，阐述文学应关爱生命，关怀深层人性。</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D．文章结尾用隽永的语言指出：人类永远在认识自我，而文学永远不会消亡。</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错解关系。“助人”“识己”不是并列关系，从文章内容看，文章标题的含义应为“文学应当帮助人认识自己”。</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3．根据原文内容，下列说法不正确的一项是(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A．真正追问和塑造人的灵魂，人类才能避免蹈入盲区或导致与外部世界的冲突。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B．魔鬼始终伴随《浮士德》主人公，隐喻消极的一面伴随人类进步与个人成长。</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C．迪伦马特《物理学家》中的追问，启发观众反思人性关怀与人类发展的关系。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D．卡夫卡的现实主义属于更高层次，是因其揭开表象让人看清生存境况的真实。</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偷换概念。不是反思“人性关怀与人类发展的关系”，而是反思“科学发展与人类发展”的关系。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二、(2019·河北武邑中学高三月考)阅读下面的文字，完成1～3题。</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中西方在饮食、服饰与住房等方面的消费习惯存在着很大的冲突，但从现实来看，每一种消费习惯都是一个民族历史文化的沉淀与积累，因而不存在“孰优孰劣”的问题。</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具体来说，在服饰消费习惯方面，中国侧重于外在的气质，西方则侧重于内在的舒适；在饮食环境方面，中国侧重于热闹的气氛，西方则侧重于宁静与优雅；在住房方面，中国侧重于稳定，西方则侧重于自由。因此，每一种消费习惯都在现实生活中存在各自的合理性。随着全球化的发展，中西方也通过改变消费习惯的方式，来体验彼此的历史文化，甚至在某些场合，一种消费习惯也会成为全球化背景下的一种商业服务。</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与消费习惯不同的是，中西方消费观念的融合并不是表现在相互对等地位的借鉴上，而是表现为西方精神消费与享乐主义的消费理念以强大的渗透力影响中国消费者，这也是我们在全球化进程中不可否认的事实。一方面，当前以信息技术为代表的现代文化传播媒体，从根本上变革了国家贸易信息传播模式，并产生了诸如世界经贸信息咨询平台、经贸期刊、网络互动平台等新型媒介，进而使得世界各国的消费者在满足消费需求的同时，也在精神层面获取了丰富的消费文化。另一方面，西方社会通过目不暇接的信息化文化传媒方式，把享乐主义为核心的西方消费观念迅速渗入各个国家，甚至在一定程度上成为人们物质与精神消费的“普世价值”。从现实来看，这种享乐主义消费理念对我国产生巨大的影响，甚至使意识形态领域的价值观念产生动摇。</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中西方消费方式的融合首先表现在消费方式趋同化的趋势。伴随着当今社会经济全球化</w:t>
      </w:r>
      <w:r w:rsidRPr="00FE684F">
        <w:rPr>
          <w:rFonts w:hAnsi="宋体" w:cs="Times New Roman"/>
          <w:szCs w:val="24"/>
        </w:rPr>
        <w:t>进程发展的持续深入，国际贸易市场也在很大程度上由各固定地区的闭塞模式发展为开放性的全球化市场。在这种形势下，区域性的商品消费需求也随之发展为开放性的全球化需求。例如说，在当今社会，我们已经完全不能通过一个人是否身穿李宁的运动装，是否吃麦当劳快餐来判断这个人的国籍。总之随着当前世界贸易的全方位发展，各类商品的无国界流通，中西方人民的消费方式日益趋同。</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此外，中西方消费方式的融合还表现在对待各类具体消费方式的理性判断上。这一点在货币消费和信贷消费方面表现得尤为突出。总之，在中西方消费理念的彼此碰撞中，消费者对各类消费方式具有了理性的认识，而不再一味地迷信某一类消费方式。</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从现实来看，西方消费文化是建立在发达生产力基础上的意识形态范畴，在很大程度上也反映了先进生产力发展的现实需要。而我国仍处于社会主义的初级阶段，生产力发展程度也有待进一步深化，而由生产力所决定的消费文化在其先进理念上也必然会与西方发达国家存在着一定的差距。对此，我们应当消除意识形态的偏见，汲取西方消费文化的先进理念，从而为重构我国本土消费文化积累经验材料。</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(摘编自姜鹏飞《全球化背景下中西方</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消费文化的冲突与融合》)</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w:t>
      </w:r>
      <w:r w:rsidRPr="00FE684F">
        <w:rPr>
          <w:rFonts w:hAnsi="宋体" w:cs="MingLiU_HKSCS" w:hint="eastAsia"/>
          <w:szCs w:val="24"/>
        </w:rPr>
        <w:t>．</w:t>
      </w:r>
      <w:r w:rsidRPr="00FE684F">
        <w:rPr>
          <w:rFonts w:hAnsi="宋体" w:cs="Times New Roman"/>
          <w:szCs w:val="24"/>
        </w:rPr>
        <w:t>下列关于原文内容的理解和分析，正确的一项是(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A．中西方消费在习惯上有所不同，具体表现在饮食、服饰、住房等方面，在不同的时代，双方是有优劣之分的。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B．消费习惯的不同，主要在于一个民族的历史文化沉淀与积累，因而一个民族的某种消费习惯是很难改变的。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C．在消费习惯上，中国侧重于外在气质，这有其合理性，正如西方侧重于宁静与优雅一样。</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D．中西方在消费观念上的相互借鉴和融合是不对等的，大致说来，西方消费理念的渗透力比较强大。</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A项，“双方是有优劣之分的”错，原文是“不存在着‘孰优孰劣’的问题”；B项，根据第二段最后一句“甚至在某些场合，一种消费习惯也会成为全球化背景下的一种商业服务”可知，“很难改变”这一观点不正确；C项，这是两种不同方面的消费习惯，“外在气质”是从“服饰消费习惯方面”讲的，“宁静与优雅”是从“饮食环境方面”讲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A．开头一段开宗明义，提出观点，指出中西方几项大的消费习惯存在不同，但不分优劣。</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B．在第二段里，作者通过详细举例进行对比论证，分析准确深刻，说明了某种消费习惯会成为全球化背景下的一种商业服务。</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C．第三段论述中西方消费观念的融合，涉及文化传播、精神思想、消费观念等方面，比较客观地分析了双方的现状。</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D．全文主要采取了对比的论证方法，从消费习惯、消费观念、消费方式等方面进行了论证，逻辑顺序如水而下，自然明晓。</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b/>
          <w:color w:val="FF0000"/>
          <w:szCs w:val="24"/>
        </w:rPr>
        <w:t>解析</w:t>
      </w:r>
      <w:r w:rsidRPr="00FE684F">
        <w:rPr>
          <w:rFonts w:hAnsi="宋体" w:cs="Times New Roman"/>
          <w:szCs w:val="24"/>
        </w:rPr>
        <w:t>　第二段的论证，不够详细，也不够深刻，此外，选项中还少了“某些场合”的限定，对比也并非是为了说明“某种消费习惯会成为全球化背景下的一种商业服务”。</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w:t>
      </w:r>
      <w:r w:rsidRPr="00FE684F">
        <w:rPr>
          <w:rFonts w:hAnsi="宋体" w:cs="MingLiU_HKSCS" w:hint="eastAsia"/>
          <w:szCs w:val="24"/>
        </w:rPr>
        <w:t>．</w:t>
      </w:r>
      <w:r w:rsidRPr="00FE684F">
        <w:rPr>
          <w:rFonts w:hAnsi="宋体" w:cs="Times New Roman"/>
          <w:szCs w:val="24"/>
        </w:rPr>
        <w:t>根据原文内容，下列理解和分析不正确的一项是(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A．西方精神消费与享乐主义的消费理念的渗透力比较强大，对此，我们要有足够的认识，不能随波逐流。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B．消费方式是多方面的，消费者对各类消费方式要具有理性认识，不应一味地迷信某一类消费方式。</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C．中西方的文化不同，生活环境与条件也不一样，因此西方一些并不正确的消费观念会在一定程度上成为我们物质与精神消费的“普世价值”。</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D．在新形势下，我们要想避免西方不正确的消费理念，需要在大力发展生产力的同时，重构我国本土消费文化。</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b/>
          <w:color w:val="FF0000"/>
          <w:szCs w:val="24"/>
        </w:rPr>
        <w:t>解析</w:t>
      </w:r>
      <w:r w:rsidRPr="00FE684F">
        <w:rPr>
          <w:rFonts w:hAnsi="宋体" w:cs="Times New Roman"/>
          <w:szCs w:val="24"/>
        </w:rPr>
        <w:t>　前后句逻辑混乱，不存在因果关系。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三、(2019·辽宁部分重点中学高三联考)阅读下面的文字，完成1～3题。</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有着5000多年历史的中国传统艺术是一条璀璨星河，它的精神和血脉对世界文化艺术的发展起到了极其重要的涵养作用，对世界众多艺术家产生过直接或间接的影响。尤其是当西方传统写实绘画的发展处于困境之时，中国传统艺术更是以其独具特色的艺术魅力和表现形式启迪了一大批现代艺术家。他们从中汲取营养，摸索前行。在很多西方艺术史论家眼里，中国传统艺术是世界艺术的高峰。</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中国传统艺术对西方的影响可以追溯到14世纪的欧洲，当时中国的瓷器、丝绸和国画等商品一直流行于欧洲的上层社会中。在法国，中国的龙凤图案常被运用于各类织物中。在15世纪的意大利和法国瓷器制作中，盛行模仿中国青花瓷器造型。18世纪法国“罗可可”绘画大师让·安东尼·华托青年时期曾研究中国的《百戏图》，他的作品《发舟西苔岛》具有明显的中国意味和东方艺术特色。著名的评论家雷文曾说：“凡于中国宋代之风景画研究有素者，一见华托此作，必讶其风景之相似，其画中远山犹保持作者之生命，青峰缥缈，用单色作烟云。华托所惯为者，亦中国山水画最显著之特色也。”日本学者小林太市郎认为应该将17～18世纪流行于欧洲的“罗可可”艺术称为“中国—法国式”。19世纪新古典主义大师安格尔则因为具有浓郁东方意味的艺术语言，被当时的人们称为“误生在19世纪雅典废墟上的中国画家”。</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19世纪中叶，摄影术的发明，对西方传统写实绘画带来了巨大的冲击。西方绘画艺术的发展陷入了困境，艺术家开始寻求新的出路。此时，博大精深的中国传统艺术思想和独具特色的艺术表现形式，给了西方艺术家以启迪，使得西方艺术在现代主义道路上继续前行。一些杰出的画家诸如凡·高、高更、毕加索、马蒂斯、克里姆特、大卫·霍克尼等，分别从不同的方面和角度吸取中国艺术的养分，探索出全新的艺术风格，创作出一大批具有划时代意义的艺术杰作，对世界艺术史的发展产生了深远的影响。诚然，一些西方艺术家和学者认为日本浮世绘对西方现代艺术有过重要的影响，不过，凡是知晓世界艺术史的人都知道，日本艺术并不是独立发展起来的，而是在吸收中国传统绘画的基础上形成的。尽管后印象派的画家是从日本浮世绘中获取了灵感，但是日本浮世绘的画法，则是来自中国唐代绘画及明代画家陈洪绶和萧云从的作品。正如毕加索所说：“在这个世界上，谈到艺术，第一是中国人的艺术；其次是日本，日本的艺术又是源自中国。”</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在漫长的艺术发展过程中，中国历代艺术家在实践中探索出具有鲜明的民族特色和高超技巧的艺术样式，形成了完整的艺术体系，在世界艺术史上居于不可替代的重要地位，为世界艺术的发展作出了突出的贡献。审视中国传统艺术对世界文化的贡献，更能坚定我们的文化自信。</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(摘编自桂小虎《东方的启迪——</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中国传统艺术对世界绘画的影响》)</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1．下列关于原文内容的理解和分析，正确的一项是(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A．早在14世纪，随着中国瓷器、丝绸和国画等商品在欧洲上层社会的流行，中国传统艺术就影响到欧洲。</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B．中国传统艺术历史悠久，对世界文化艺术影响巨大，因此，被西方艺术史论家公认为世界艺术的高峰。</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C．发明于19世纪中叶的摄影术对西方传统写实绘画冲击很大，是博大精深的中国传统艺术促使其寻找新路。</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D．中国传统艺术特色鲜明，技巧高超，体系完整，地位不可替代，因而为世界艺术发展作出的贡献也最大。</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筛选并整合文中的信息的能力。B.“公认为”不正确，原文第一段为“在很多西方艺术史论家眼里”。C.“是博大精深的中国传统艺术促使其寻找新路”不正确，根据原文第三段，在此前艺术家就已经开始寻找新路了，中国传统艺术的作用是“使得西方艺术在现代主义道路上继续前行”。D.“中国传统艺术”应为中国传统艺术样式；“因而为世界艺术发展作出的贡献也最大”不正确，原文第四段是说“作出了突出的贡献”，且选项强加因果关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A．第一段总述中国传统艺术对世界文化艺术尤其是西方传统写实绘画的影响，点明其在世界艺术中的地位。</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B．第二、三段按照历史时代顺序，具体论述中国传统艺术对西方的巨大影响，紧密照应第一段相关内容。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C．结尾一段重申中国传统艺术的特点、地位及贡献，总结全文，照应开头，并在段末提出全文的中心论点。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D．在论述中国传统艺术对西方的影响的过程中，文章釆用例证法和引证法，大大增强了论证的说服力和可信度。</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本题考查分析论点、论据和论证方法的能力。“在段末提出全文的中心论点”不正确，段末点明写作意图而非提出中心论点。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3．根据原文内容，下列说法不正确的一项是(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A．法国绘画大师让·安东尼·华托的作品《发舟西苔岛》具有明显的中国意味和东方艺术特色，其中的风景以及画法与中国宋代风景画非常相似。</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B．“罗可可”艺术被认为应称作“中国—法国式”，安格尔被当时的人们称为“误生在19世纪雅典废墟上的中国画家”，足见中国传统艺术对西方影响之大。</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C．凡·高、高更、毕加索、马蒂斯等杰出画家之所以能探索出全新的艺术风格，创作出一大批艺术杰作，与他们善于学习中国传统艺术分不开。</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D．有人认为，日本浮世绘对西方现代艺术有过重要的影响。作者对这一观点不以为然，因为日本浮世绘的画法也是在吸收中国传统绘画基础上形成的。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本题考查归纳内容要点，概括中心意思的能力。“作者对这一观点不以为然”不正确，根据原文第三段，“诚然”表明作者对这一观点并非不以为然，而是强调日本浮世绘的画法也是源于中国。</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四、(2019·长春市普通高中质量监测一)阅读下面的文字，完成1～3题。</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中国古代的法典蕴含着重德礼、慎刑罚、遵伦常、讲忠孝、重和谐、求和睦的民族精神。由此，思想家提出“明刑”(彰明刑罚)可以“弼教”(辅助教育)，也就是通过彰显法律规范的内容，使民了解它所蕴含的民族精神，表明法律非以刑人为目的，而以使民远恶迁善为目的，以期实现以刑弼教、以刑辅教。法家主张“以法为教”，使民知法既可以远离犯罪，又可以借法保护其自身的权益。正是由于法具有止恶劝善的功能，并非一味以刑人为目的，因此守法者如沐春风，违法者如履薄冰。</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历史上，明刑弼教的内容因朝代不同而略有变化。汉儒传承了以礼乐主宰刑罚的传统，确立了德主刑辅的指导原则，即朝廷以道德感动民众，刑法只作为辅助手段。例如，董仲舒借助阴阳五行之说，大力宣传“大德小刑”，以德化民教民，使民不敢为非、不触法禁。唐</w:t>
      </w:r>
      <w:r w:rsidRPr="00FE684F">
        <w:rPr>
          <w:rFonts w:hAnsi="宋体" w:cs="Times New Roman"/>
          <w:szCs w:val="24"/>
        </w:rPr>
        <w:t>代法典《唐律疏议》开宗明义便宣布“德礼为政教之本，刑罚为政教之用”，阐明了教化为先、刑焉其后，明刑弼教的真谛。韩愈也曾经说过：“德礼为先而辅以政刑。”明太祖朱元璋认为，要达到天下大治，应效仿圣王，以德化天下，“亦以五刑辅弼之”。为矫正元末法纪败坏、人不畏法、肆意为恶的积弊，以严刑治国。他手订的《大诰》收集了严刑惩治犯罪的案例，意在教民“趋吉避凶”之道。《大明律》旨在运用法律打击奸顽，惩治犯罪，以维护社会的安定与国家的纲纪。明太祖还有意识地对某些案件重法又重情，借以表达明刑弼教之意。例如，“有子犯法，父贿求免者，御史欲并论父。太祖曰：‘子论死，父救之，情也。但论其子，赦其父。’”清代在承袭明代的立法思想的同时，对政刑与礼教的目的做了经典阐述，并指出立法的精义在于“明刑弼教”。《清史稿·刑法志》篇首开宗明义：“中国自书契以来，以礼教治天下，匡之直之而刑生焉。”</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从明德慎罚，到德主刑辅，再到明礼导民，明刑弼教是贯穿中国古代两千余年的一个传统。它产生于以人为本的基础之上，是人本主义的具体体现。认真贯彻实施则国兴，慢而废弃则国亡。这是一条历史规律。“以德化民”的“化”与“明刑弼教”的“教”二者具有相通性，目的都在于“导民向善”，使民远离犯罪。以德化民与以法治国是互相连接、互补互用的，国家治理不可忽视的二柄。法与德的结合减少了法律的滥用，柔化了法条严酷的外貌，便于民众接受。以德化民使民心向善，遏制了犯罪的动机，有利于避免法繁刑酷的虐政。德法互补互用，使道德法律化，遵守法律的义务和遵守道德规范的义务相一致，既止恶，而又劝善，使“明刑弼教”的“教”落到了实处。同时，德法互补又使法律道德化，使法律具有稳定性和权威性。</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(节选自张晋藩《中国古代国家治理的重心》，有改动)</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w:t>
      </w:r>
      <w:r w:rsidRPr="00FE684F">
        <w:rPr>
          <w:rFonts w:hAnsi="宋体" w:cs="MingLiU_HKSCS" w:hint="eastAsia"/>
          <w:szCs w:val="24"/>
        </w:rPr>
        <w:t>．</w:t>
      </w:r>
      <w:r w:rsidRPr="00FE684F">
        <w:rPr>
          <w:rFonts w:hAnsi="宋体" w:cs="Times New Roman"/>
          <w:szCs w:val="24"/>
        </w:rPr>
        <w:t>下列关于原文内容的理解和分析，不正确的一项是(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A．彰明刑罚、辅助教育就是通过彰显法律规范的内容，使人民了解教育所蕴含的民族精神。</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B．儿子被判死刑，父亲行贿求情，最后判子赦父，这一事例体现明太祖重法律又重伦理情怀。</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C．“明刑弼教”的“教”与“以德化民”的“化”之间存在相通性，目的都是使百姓“向善”。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D．以德化民与以法治国互补互用，能止恶劝善，可以使法律道德化并使其具有稳定性和权威性。</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b/>
          <w:color w:val="FF0000"/>
          <w:szCs w:val="24"/>
        </w:rPr>
        <w:t>解析</w:t>
      </w:r>
      <w:r w:rsidRPr="00FE684F">
        <w:rPr>
          <w:rFonts w:hAnsi="宋体" w:cs="Times New Roman"/>
          <w:szCs w:val="24"/>
        </w:rPr>
        <w:t>　本题考查筛选并整合文中的信息的能力。A项，“使人民了解教育所蕴含的民族精神”分析错误，“教育”与原文所说“就是通过彰显法律规范的内容，使民了解它所蕴含的民族精神，表明法律非以刑人为目的，而以使民远恶迁善为目的，以期实现以刑弼教、以刑辅教”内容不符，原文不是说教育，而是说法律。</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w:t>
      </w:r>
      <w:r w:rsidRPr="00FE684F">
        <w:rPr>
          <w:rFonts w:hAnsi="宋体" w:cs="MingLiU_HKSCS" w:hint="eastAsia"/>
          <w:szCs w:val="24"/>
        </w:rPr>
        <w:t>．</w:t>
      </w:r>
      <w:r w:rsidRPr="00FE684F">
        <w:rPr>
          <w:rFonts w:hAnsi="宋体" w:cs="Times New Roman"/>
          <w:szCs w:val="24"/>
        </w:rPr>
        <w:t>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A．文章列举不同时代的事例，论证了“明刑弼教”是贯穿中国古代治理的传统。</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B．文章以董仲舒大力宣传“大德小刑”的事例来论证汉代儒家德主刑辅的主张。</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C．文中用韩愈言论、朱元璋修订法律等材料，论证教化先行、刑罚居后的观点。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D．文章从以德化民、以法治国、德法互补的角度阐述了我国古代在治国上的特点。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本题考查分析论点、论据和论证方法的能力。C项，结合原文看，韩愈的言论论证唐代教化先行而刑罚居后，朱元璋修订《大诰》和《大明律》两个论据是用来论证明朝严刑治国同时德化天下的。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w:t>
      </w:r>
      <w:r w:rsidRPr="00FE684F">
        <w:rPr>
          <w:rFonts w:hAnsi="宋体" w:cs="MingLiU_HKSCS" w:hint="eastAsia"/>
          <w:szCs w:val="24"/>
        </w:rPr>
        <w:t>．</w:t>
      </w:r>
      <w:r w:rsidRPr="00FE684F">
        <w:rPr>
          <w:rFonts w:hAnsi="宋体" w:cs="Times New Roman"/>
          <w:szCs w:val="24"/>
        </w:rPr>
        <w:t>根据原文内容，下列说法不正确的一项是(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A．中国古代的法律并非一味以刑人为目的，这对违法者具有约束力的同时，对百姓也有软化作用。</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B．清代的立法思想承袭于明代，《清史稿·刑法志》篇首就明确地阐释了政刑与礼教的关系。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C．中国古代国家治理过程中，认真贯彻实施具有人本主义情怀的明刑弼教传统，国家方会兴盛。</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D．为了减少法律的滥用、柔化法条严酷的外貌、遏制犯罪的动机等，必须以德化民，使民心向善。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b/>
          <w:color w:val="FF0000"/>
          <w:szCs w:val="24"/>
        </w:rPr>
        <w:t>解析</w:t>
      </w:r>
      <w:r w:rsidRPr="00FE684F">
        <w:rPr>
          <w:rFonts w:hAnsi="宋体" w:cs="Times New Roman"/>
          <w:szCs w:val="24"/>
        </w:rPr>
        <w:t>　本题考查归纳内容要点的能力，侧重考查文中的观点。D项断章取义，以部分代整体。“必须以德化民”不够全面，结合原文，应该是“以法治国与以德化民相结合”。</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五、(2018·宁夏石嘴山市三中期末)阅读下面的文章，完成1～3题。</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儒家传统与鲁迅的精神至上观</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刘倩</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鲁迅的通过转变国人的思想意识，振兴疲弱的旧中国的理想，我们称为“精神至上观”或“精神至上主义”。精神至上主义是鲁迅思想模式的一个特征，而这一思想特征的形成依据又主要与儒家文化传统有关。精神至上主义作为鲁迅的一种思想模式，它将需要长期的环境、心理、知识的积累和思想的训练才能形成。就鲁迅的精神结构形成的历史文化语境而言，鲁迅从小受到的是正规的儒家文化的教育。他的最直接的文化环境是一个以儒家传统为信仰的正统家庭，鲁迅的精神结构在本质上是与儒家传统紧密传承的。鲁迅之所以被誉为“民族魂”，之所以在一个动荡的时代而没有成为昙花一现的思想者，之所以始终没有失去他的现实意义，一个很重要的原因就是他脚踏着丰厚的传统文化的历史积淀，自觉或不自觉地与民族传统保持着积极的联系。</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鲁迅的“个人”是指一种独立人格，而这种独立人格又是在个性精神的支撑下实现的，</w:t>
      </w:r>
      <w:r w:rsidRPr="00FE684F">
        <w:rPr>
          <w:rFonts w:hAnsi="宋体" w:cs="Times New Roman"/>
          <w:szCs w:val="24"/>
        </w:rPr>
        <w:t>所以他才把民族振兴和民族文化重建的基本途径最终归结为“尊个性而张精神”。在鲁迅看来，个人化的思想是历史进化和社会解放的动力之源，他所强调的人的精神，不仅是一种民族解放和文化重建的历史需要，而且常常在他的历史文化评判中不声不响地成为某种价值标准。他所提倡的是与肯定个性精神和思想意识的重要地位合拍的文化价值，他所反对的一般也是否定和压制精神至上的历史观念和文化现象。正是由于这个原因，他一生的思想和作为虽也不断地变化，但始终没有放弃思想启蒙这个追求。</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鲁迅走上文艺的道路是出于他看准了文艺最善于改变人的精神。作为文艺家的鲁迅，也正是自觉于这样一种价值原则去选择文化和接受文化的选择。鲁迅批判政治和张扬文艺并非是他真正的和最终的目的。他所急于实现的历史功能是人的精神的改变，即人的精神的独立。概而言之，从存在角度说，这种精神至上主义，在鲁迅的思维结构中是否是一种自觉，或者是在多大程度上的自觉十分复杂，但无可辩驳的是鲁迅的思维所触及的许多方面都体现出精神至上的思想倾向。同时精神至上主义在鲁迅一生的精神活动中，构成了某种反复和不断出现的现象，这说明精神至上主义已经成为鲁迅的分析范式。</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儒学的突出人的心智功能的思想倾向，实际上已经成为一种民族文化逻辑。这不仅表现在中国哲学和思想史中，在实际的历史行为里，人们也从未忘记“民心”，忘记“人的因素”等等，对人的精神的表达、理解和强调有时甚至有些过分。由于这种思想模式是以一种文化基因的形式在鲁迅的精神结构中加以延续的，因而他本人没有清醒地察觉或是干脆没有察觉也是十分正常的，我们却不能因此对鲁迅的思想模式与儒家心性之学的密切关系视而不见。</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(选自《文学教育》，有删改)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w:t>
      </w:r>
      <w:r w:rsidRPr="00FE684F">
        <w:rPr>
          <w:rFonts w:hAnsi="宋体" w:cs="MingLiU_HKSCS" w:hint="eastAsia"/>
          <w:szCs w:val="24"/>
        </w:rPr>
        <w:t>．</w:t>
      </w:r>
      <w:r w:rsidRPr="00FE684F">
        <w:rPr>
          <w:rFonts w:hAnsi="宋体" w:cs="Times New Roman"/>
          <w:szCs w:val="24"/>
        </w:rPr>
        <w:t>下列关于原文内容的理解和分析，正确的一项是(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A．鲁迅把民族振兴和民族文化重建的基本途径归结为“尊个性而张精神”，直接导致“个人”的独立人格在个性精神的支撑下实现。</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B．鲁迅思想模式的一个特征是精神至上观，而这一思想特征的形成依据与儒家文化传统有着密切关系。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C．作为鲁迅的一种思想模式的“精神至上观”，在长期的环境、心理、知识的转化和思想的训练中积淀而成。</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D．我们可以清楚梳理精神至上观在鲁迅的思维结构中是否是一种自觉，或者是在多大程度上的自觉。</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筛选并整合文中的信息的能力。A.因果倒置，原文第二段为“鲁迅的‘个人’是指一种独立人格，而这种独立人格又是在个性精神的支撑下实现的，所以他才把民族振兴和民族文化重建的基本途径最终归结为‘尊个性而张精神’”。C.“知识的转化”错，由原文第一段“长期的环境、心理、知识的积累和思想的训练才能形成”可知，应为“知识的积累”。D.缺少前提条件“从存在角度说”，另外“清楚梳理”错误，原文第三段是“这</w:t>
      </w:r>
      <w:r w:rsidRPr="00FE684F">
        <w:rPr>
          <w:rFonts w:hAnsi="宋体" w:cs="Times New Roman"/>
          <w:szCs w:val="24"/>
        </w:rPr>
        <w:t>种精神至上主义，在鲁迅的思维结构中是否是一种自觉，或者是在多大程度上的自觉十分复杂”。</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A．文章第一段围绕着鲁迅之所以被称为“民族魂”的原因，深入剖析了儒家文化对鲁迅的影响。</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B．文章论证鲁迅“个人”的内涵，先后从“尊个性而张精神”“评判历史文化时的价值标准”“没放弃思想启蒙”三个层面进行了剖析。</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C．文章论述精神至上主义已经成为鲁迅的分析范式，是基于他看准了精神独立最善于改变人的思想。</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D．文章最后论证了鲁迅的精神结构中深深融入了“突出人的心智功能”这一思想，他的思想模式与儒家心性之学的关系十分密切。</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C.“是基于他看准了精神独立最善于改变人的思想”错，是基于“精神至上主义在鲁迅一生的精神活动中，构成了某种反复和不断出现的现象”。此外，鲁迅认为最善于改变人的精神的是文艺，而非“精神独立”。</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3．根据原文内容，下列理解和分析不正确的一项是(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A．鲁迅所强调的人的精神，既常常在他的历史文化评判中不声不响地成为某种价值标准，又是一种民族解放和文化重建的历史需要。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B．鲁迅一生的思想和作为虽有波动，但始终也没放弃思想启蒙这个追求，反对的一般是否定和压制精神至上的历史观念和文化现象。</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C．鲁迅走上文艺道路的原因是看准了文艺最善于改变人的精神，他所急于实现的历史功能是改变国人的精神的，即人的精神的独立。</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D．儒学的突出人的心智功能的思想模式以一种文化基因的形式在鲁迅的精神结构中延续着，鲁迅对此没有清醒地察觉或干脆没有察觉。</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归纳内容要点、概括中心意思的能力。A.两个分句间不是并列关系，应该是递进关系，原文第二段为“他所强调的人的精神，不仅是一种民族解放和文化重建的历史需要，而且常常在他的历史文化评判中不声不响地成为某种价值标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六、(2018·山东日照模拟)阅读下面的文章，完成1～3题。</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乡村传统文化现实境遇与发展机会</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农淑英</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乡村传统文化赋予了传统乡村生活以规则、意义和价值，是乡村村民日常生活中常态性和当然性的文化。然而，随着村民们越来越多地接触到外面精彩世界，他们生存和发展的愿望有了新的参照系，部分人特别是青壮年渐渐感觉乡村生活很难体现人的生存价值，对乡村</w:t>
      </w:r>
      <w:r w:rsidRPr="00FE684F">
        <w:rPr>
          <w:rFonts w:hAnsi="宋体" w:cs="Times New Roman"/>
          <w:szCs w:val="24"/>
        </w:rPr>
        <w:t>生活的意义产生了怀疑。而且他们在向往城市生活、崇拜外来文化的同时，也日益对乡土传统文化产生疏离感和自卑感。</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传统民族乡村社会里，村落中辈分最长的能人常常拥有着知识、经验与道德的权威。然而随着科学技术的发展和村民职业的分化，村落中许多过去的经验因陈旧失去了其传承的价值，而善于接受新事物的年轻一代，能力日渐显现。乡村社会中的年长者，在乡村文化秩序中的权威地位渐渐弱化，在家庭成员中的角色慢慢被边缘化，使乡村传统文化中的核心——礼俗文化受到了挑战。与此同时，经济日益成为乡村生活的强势话语，利益标准取代了传统文化中蕴含的道德评价标准，乡村传统文化的内涵和价值渐渐地被隐匿。表现在实际生活中，尊老爱幼、与人为善、以和为贵等道德观逐渐被相互提防、唯利是图和以自我为中心等价值观所代替，一些村民变得越来越短视和趋利。</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正确的价值观能润滑社会关系，促进社会和谐。然而，伴随乡村村民与外界交往的增多，传统乡村社会所崇尚的诚实、淳朴意识及热情好客、重义轻利的朴实做法遭遇了复杂的现代社会中敲诈勒索、坑蒙拐骗、见利忘义和竞争优胜劣汰的残酷现实。在乡村社会传统的道德范式正逐渐落寞，而新的道德范式却没有真正建立起来的情形下，村民自身无法有效抵御各种负面冲击，常常只会依据自己的现实利益行动。当看到朴实厚道并不被人看作是美德，坚守传统并不能使自己获利，而身边一些人投机取巧、凶狠霸道甚至损人利己却获得利益并引人称羡的时候，很多恪守传统礼俗道德的村民陷入了迷惘。有人甚至开始动摇，优秀的价值规范和道德修养逐渐被抛在脑后。村民群众价值观的迷茫和混乱使乡村社会陷入了伦理及秩序危机之中，大大增加了乡村治理的难度。</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从社会治理角度看，社会的和谐稳定发展需要物质支持更需要道德支撑。当前乡村传统文化的现实遭遇深切影响了村民的价值观，乡村社会需要梳理已然迷乱的道德价值标准，构建体现国家主流价值观的新的伦理道德规范。从文化的角度看，存在于民众生活之中、渗透于村民骨髓和性格之中的乡村传统文化，离开传统将失去它生存的土壤，离开现代将失去它存在的价值，它必须既是传统的又是现代的。</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如果乡村传统文化现存的伦理价值体系难于支撑当下乡村的日常生活，民族乡村社会乃至乡村传统文化的落寞就会在所难免。其实，千百年流传下来的乡村传统文化是地方性知识和生活方式的文化统合，其中寓含的道德价值、精神价值以及追求幸福、热爱生活的生命姿态，在今天看来依然值得珍惜。</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(节选自《人民论坛》)</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w:t>
      </w:r>
      <w:r w:rsidRPr="00FE684F">
        <w:rPr>
          <w:rFonts w:hAnsi="宋体" w:cs="MingLiU_HKSCS" w:hint="eastAsia"/>
          <w:szCs w:val="24"/>
        </w:rPr>
        <w:t>．</w:t>
      </w:r>
      <w:r w:rsidRPr="00FE684F">
        <w:rPr>
          <w:rFonts w:hAnsi="宋体" w:cs="Times New Roman"/>
          <w:szCs w:val="24"/>
        </w:rPr>
        <w:t>下列关于原文内容的理解和分析，正确的一项是(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A．乡村传统文化对传统乡村社会有独特的价值，赋予传统乡村生活以规则、意义和价值，这种文化在村民日常生活中呈现出常态性和当然性的特点。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B．因为乡村传统文化中的核心——礼俗文化受到挑战，所以乡村社会中的年长者，在家庭成员中的权威地位逐渐弱化，角色被边缘化。</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C．乡村社会转型过程中优秀的传统文化的式微，给乡村治理带来了消极影响。村民的价值观陷入迷茫与混乱的境地和伦理与秩序的危机。</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D．乡村传统文化现存的伦理价值体系与当下乡村的日常生活是唇齿相依的关系，一旦关系破裂，民族乡村社会与乡村传统文化则处于被冷落的境地。</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A</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筛选并整合文中的信息的能力。B.颠倒因果。根据第二段可知正确的因果关系为：乡村传统文化中的核心——礼俗文化受到了挑战，其原因是乡村社会中的年长者，在乡村文化秩序中的权威地位渐渐弱化，在家庭成员中的角色慢慢被边缘化。C.根据第三段末句“村民群众价值观的迷茫和混乱使乡村社会陷入了伦理及秩序危机之中”，可知，“迷茫与混乱的境地和伦理与秩序的危机”前后不是并列关系，而是因果关系。D.根据原文第五段“民族乡村社会乃至乡村传统文化的落寞就会在所难免”可知，该项中“民族乡村社会与乡村传统文化”混淆了关系，不应是并列关系，而是递进关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A．文章先列举传统乡村文化面临的严峻挑战，接着列举了在复杂的现代社会中不良现象的影响下，出现的种种不文明现象，最后指出乡村传统文化依然值得珍惜。</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B．文章第二段全段采用了讲道理的论证方法，指出一些村民变得越来越短视和趋利的内在原因。</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C．文章第三段通过正反对比的方法，阐释了两种对立的价值观的冲突，这种冲突使很多恪守传统礼俗道德的村民陷入了迷惘。</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D．文章第四段从社会治理和文化角度两个层面阐述了乡村传统文化的现代和传统的内在关系。</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指出一些村民变得越来越短视和趋利的内在原因”内容概括不全面，还有乡村社会中的年长者在乡村文化秩序中的权威地位在弱化。第二段以“与此同时”为语言标志，前后共讲了两方面的内容。B项中只概括了后半段的内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3．根据原文内容，下列理解和分析不正确的一项是(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A．乡村存在方式在空间上的逐渐改变，带来了乡村传统文化生态的逐渐改变。一些村民不再留念于乡土传统文化，逐渐向往城市生活、崇拜外来文化。</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B．乡村传统文化价值渐渐裂变，传统文化中的尊老爱幼、与人为善、以和为贵等道德观，逐渐被以自我为中心等的价值观所取代，一些村民变得短视与趋利。</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C．乡村社会传统的道德范式逐渐衰落，村民们无法有效抵制各种负面冲击，他们逐渐以经济利益为根本，他们中有的陷入迷茫甚至动摇，致使乡村社会难以管理。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D．只要采取重塑乡村新型生存空间，丰沃乡村传统文化生长土壤，重构乡村新价值范</w:t>
      </w:r>
      <w:r w:rsidRPr="00FE684F">
        <w:rPr>
          <w:rFonts w:hAnsi="宋体" w:cs="Times New Roman"/>
          <w:szCs w:val="24"/>
        </w:rPr>
        <w:t>式，展现乡村传统文化新意义等措施，就能为乡村治理找到生机。</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本题考查归纳内容要点、概括中心意思的能力。根据原文第四段“乡村社会需要梳理已然迷乱的道德价值标准，构建体现国家主流价值观的新的伦理道德规范”可知，D项“只要……就”过于绝对化。</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七、(2019·陕西西安中学模拟)阅读下面的文章，完成1～3题。</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①中国的香文化肇始于神农尝百草，历代用不同的香具、不同的出香方式，把不同的香料薰烧于礼仪、宗教、医疗、社交、居家生活、个人怡情等活动中。</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②香文化历史悠久，是中华民族在长期的历史进程中，在政治、经济、文化等各个方面，在不同的场合、运用不同的香料、采用不同的出香方式进行的文化活动和生活举止，进而演绎出中国特有的香文化制度，即由文化现象上升为文化观念。香文化伴随中国人特有的政治观、宗教观、文化观、生活观，融于中国传统的哲学体系之中。</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③香文化的性质与内涵不仅仅是闻闻香料味道和香席仪式的展示，香文化是综合艺术文化，又具有修身养性的功能。比如香具的功能、造型、纹饰等，是历代人们对艺术与哲学的思考后形成的，这是香文化极其重要的组成部分，也是超越香料出烟、出香的“形而上学”。</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④香文化由香料、香具、香席等出香活动共同组成，实现从生理感受到心理感受的升华。显然，博大精深的香文化不单单是品味香的味道和展示香席的仪式。</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⑤从香文化历史发展纵向轨迹看，原始的香文化是：“神农尝百草，辨识百草香；先民驱虫疫，屡屡起烟霞。”宋代丁谓所著《天香传》中云：“香之为用，从上古矣。所以奉神明，可以达蠲洁。”说的是用香的历史可追溯到上古时期，用来供奉神明，亦可达到辟秽清洁的目的。我们无法证明史前先民已开始用绿植熏香，在意识形态领域里徜徉，但是我们有理由推断，史前先民已开始用绿植熏烟，抗击蚊虫和瘟疫的袭扰。</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⑥从香文化的性质特点横向层面看：一是礼教香文化，即原始的敬天与祭祖，周秦以来香文化用于礼政、礼乐等等；二是宗教香文化，即香文化用于礼佛、礼道、礼儒；三是社交香文化，用于茶席、琴桌、文房等等；四是居家香文化，用于驱蚊虫、避瘟疫、薰衣被等等。</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⑦从香料的分类及出香特点看：其一是树脂类香，如沉香、檀香等，其味道以香甜为主，出香特点是热火熏烧。其二是膏脂类香，如龙涎香、麝香等，其味道以香腻为主，出香特点是既薰又熏。其三是花草类香，如蕙兰、蒿草等，其味道有香甜和辛辣，出香特点是既薰又熏。其四是瓜果类香，如佛手瓜、柏树子等，其味道有香甜和辛辣，出香特点是既薰又熏。其五是合(水)类香，如香粉、香露等，其味道有香甜和辛辣，出香特点是既薰又熏。</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⑧从香具的分类特点来看，不同的熏香意图、香料，用不同的香具。比如香薰炉，殿堂用殿堂炉，祭奠天地鬼神用供炉，卧室用熏衣、熏被炉，文房用文炉，琴案用琴炉等等。</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⑨总之，中国的香文化，不单单是闻闻沉香的味道，而且在于在不同的情境、用不同的香具、让不同的香料发散出不同的香气。它既是感性的嗅觉、视觉活动，也是理性的内心感</w:t>
      </w:r>
      <w:r w:rsidRPr="00FE684F">
        <w:rPr>
          <w:rFonts w:hAnsi="宋体" w:cs="Times New Roman"/>
          <w:szCs w:val="24"/>
        </w:rPr>
        <w:t>知活动。中国的香文化，已经“形而上”地融入到了哲学和“形而下”地深入到人们的日常生活中了。</w:t>
      </w:r>
    </w:p>
    <w:p w:rsidR="00410FEB" w:rsidRPr="00FE684F" w:rsidP="00FE684F">
      <w:pPr>
        <w:pStyle w:val="PlainText"/>
        <w:snapToGrid w:val="0"/>
        <w:spacing w:line="360" w:lineRule="auto"/>
        <w:ind w:firstLine="420" w:firstLineChars="200"/>
        <w:jc w:val="right"/>
        <w:rPr>
          <w:rFonts w:hAnsi="宋体" w:cs="MingLiU_HKSCS"/>
          <w:szCs w:val="24"/>
        </w:rPr>
      </w:pPr>
      <w:r w:rsidRPr="00FE684F">
        <w:rPr>
          <w:rFonts w:hAnsi="宋体" w:cs="Times New Roman"/>
          <w:szCs w:val="24"/>
        </w:rPr>
        <w:t>(选自《光明日报》，有删改)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w:t>
      </w:r>
      <w:r w:rsidRPr="00FE684F">
        <w:rPr>
          <w:rFonts w:hAnsi="宋体" w:cs="MingLiU_HKSCS" w:hint="eastAsia"/>
          <w:szCs w:val="24"/>
        </w:rPr>
        <w:t>．</w:t>
      </w:r>
      <w:r w:rsidRPr="00FE684F">
        <w:rPr>
          <w:rFonts w:hAnsi="宋体" w:cs="Times New Roman"/>
          <w:szCs w:val="24"/>
        </w:rPr>
        <w:t>下列关于原文内容的理解和分析，正确的一项是(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A．香具是香文化非常重要的组成部分，也是历代人们在漫长的历史长河中对艺术和哲学思考后所形成的。</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B．在中华民族漫长历史进程中，香文化已渗透进礼仪、宗教、医疗、居家生活的活动中。</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C．中国香文化体现在政治、经济、文化等各方面，随着历史的进程，已上升为宗教观念。</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D．香文化是中国所特有的，它伴随我们的政治观等，已经融入到中国传统的哲学体系之中。</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筛选并整合文中的信息的能力。A.偷换概念，由原文第③段可知，“也是人们在漫长的历史长河中……形成的”不是“香具”，而是“香具的功能、造型、纹饰等”。C.“已上升为宗教观念”错，原文第②段的表述为“由文化现象上升为文化观念”。D.“香文化是中国所特有的”错，由第②段“进而演绎出中国特有的香文化制度”可知，中国所特有的是“香文化制度”。</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A．文章运用了举例论证、引用论证的方法，并采用了总分总的结构方式，介绍了香文化的精妙。</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B．第③段论述香文化是综合艺术文化，又具有修身养性的功能。香具的功能、造型、纹饰等可作为例证。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C．第⑤段“香之为用，从上古矣。所以奉神明，可以达蠲洁”，论述了史前先民已开始用香奉神明、辟秽清洁了。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D．第⑨段总结全文，强调论点。中国的香文化，不仅是闻香的感性的嗅觉、视觉活动，还是理性的内心感知的活动，已经“形而上”地深入到人们的生活中。</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D</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本题考查分析论点、论据和论证方法的能力。选项“已经‘形而上’地深入到人们的生活中”错，第⑨段原文是“‘形而下’地深入到人们的日常生活中了”。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3．根据原文内容，下列理解和分析不正确的一项是(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A．中国香文化不只是简单地品味香料的味道和展示香席的仪式，还包括香料、香具、香席等的选择以及不同的出香方式。</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B．我们虽已没有证据证明史前先人已开始用绿植熏香，但有理由推断，史前先人已用</w:t>
      </w:r>
      <w:r w:rsidRPr="00FE684F">
        <w:rPr>
          <w:rFonts w:hAnsi="宋体" w:cs="Times New Roman"/>
          <w:szCs w:val="24"/>
        </w:rPr>
        <w:t>绿植熏烟，用香来礼政、礼乐等等。</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C．不同的香料，往往有不同的味道，它们的出香特点也并不完全相同，如树脂类采用与众不同的热火熏烧方式来出香。</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D．用于茶席、琴桌、文房和用于礼佛、礼道、礼儒的香文化，因熏香意图和情境不同，所采用的香料、香具也不同。</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本题考查归纳内容要点、概括中心意思的能力。“用香来礼政、礼乐”是“周秦以来”，不是“史前”。史前人们用绿植熏烟的目的是“抗击蚊虫和瘟疫的袭扰”。</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八、(2019·河北武邑中学第二次调研)阅读下面的文字，完成1～3题。</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古代“文人趣味”的生成与演变(节选)</w:t>
      </w:r>
    </w:p>
    <w:p w:rsidR="00410FEB" w:rsidRPr="00FE684F" w:rsidP="00410FEB">
      <w:pPr>
        <w:pStyle w:val="PlainText"/>
        <w:snapToGrid w:val="0"/>
        <w:spacing w:line="360" w:lineRule="auto"/>
        <w:jc w:val="center"/>
        <w:rPr>
          <w:rFonts w:hAnsi="宋体" w:cs="Times New Roman"/>
          <w:szCs w:val="24"/>
        </w:rPr>
      </w:pPr>
      <w:r w:rsidRPr="00FE684F">
        <w:rPr>
          <w:rFonts w:hAnsi="宋体" w:cs="Times New Roman"/>
          <w:szCs w:val="24"/>
        </w:rPr>
        <w:t>李春青</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人们的美学观念、文艺思想固然受制于特定的意识形态，而趣味则是意识形态的心理基础。趣味与意识形态相互作用，离开趣味作为基础，意识形态就成为空洞的口号与说教，而不能得到意识形态确证的趣味也只能表现为自生自灭的时尚与习俗。因此可以说，趣味具有阶级性，也具有历史性。</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文”可视为中国古代贵族趣味的标志性符号。在周代典籍中随处可见的“文”是贵族趣味与贵族意识形态的纽结点。它既包含着以等级观念为核心的贵族价值体系，又包含着以礼乐为核心的贵族趣味系统。孔子赞扬周代的政治文化：“周鉴于二代，郁郁乎文哉！吾从周。”今人则常常用“繁文缛节”来评说周代文化，这些都是对“文”这一趣味特征的理解。“文”就是一切形式化的人为建构，包括典章制度、礼仪、知识系统、诗、乐、舞、建筑、绘画、雕塑、器物等，也包括贵族阶层在正式场合的一切言说。这个“文”的系统把贵族与其他社会阶层区别开来。</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道”可视为士人或士大夫阶层趣味的标志性符号。秦汉之后，受过教育的布衣之士有机会进入官僚行列，于是已做官的读书人和希望做官的读书人就构成了新的社会知识阶层，即“士大夫阶层”。强烈的历史使命感与社会责任感是士大夫趣味结构的基本内涵。西周贵族阶层话语系统中没有“道”的位置，它与士大夫阶层相伴而生。士大夫阶层是春秋战国之际从原有贵族阶级蜕化而来的，他们在贵族文化基础上建构起了自己的文化系统，这就是以孔孟老庄为代表的诸子百家之学。可以说，士人阶层一切精神文化的建构都是对他们所尊奉的“道”的诠释，而“道”也成为士人阶层文化心态、性情倾向与观念系统的综合性呈现。正因如此，“文”“道”关系成为中国古代文学思想中一个延续千年的基本主题。</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雅”可视为文人趣味的标志性符号。“文人趣味”是在士大夫趣味中孕育而生的。如上所述，对“道”的推崇与信守构成了士大夫精神趣味的基本维度。然而这个阶层毕竟是社会文化的创造者与主导者，有着极为丰富的精神世界，决非仅仅囿于狭隘的政治领域。于是，士大夫阶层就获得了新的身份性标志——“文人”。所谓“文人”，就是有文采之人，亦即</w:t>
      </w:r>
      <w:r w:rsidRPr="00FE684F">
        <w:rPr>
          <w:rFonts w:hAnsi="宋体" w:cs="Times New Roman"/>
          <w:szCs w:val="24"/>
        </w:rPr>
        <w:t>诗词歌赋、琴棋书画样样精通之人。当士人阶层意识到自己个人情感的重要性并且为个人情趣的表达争得合法性时，文人趣味就成为文学艺术的主要心理基础。文人趣味主要表现为一种永无休止的“雅化”追求：形式上越来越精益求精，风格上越来越细腻微妙，评价标准上越来越专门化。</w:t>
      </w:r>
    </w:p>
    <w:p w:rsidR="00410FEB" w:rsidRPr="00FE684F" w:rsidP="00FE684F">
      <w:pPr>
        <w:pStyle w:val="PlainText"/>
        <w:snapToGrid w:val="0"/>
        <w:spacing w:line="360" w:lineRule="auto"/>
        <w:ind w:firstLine="420" w:firstLineChars="200"/>
        <w:jc w:val="left"/>
        <w:rPr>
          <w:rFonts w:hAnsi="宋体" w:cs="MingLiU_HKSCS"/>
          <w:szCs w:val="24"/>
        </w:rPr>
      </w:pPr>
      <w:r w:rsidRPr="00FE684F">
        <w:rPr>
          <w:rFonts w:hAnsi="宋体" w:cs="Times New Roman"/>
          <w:szCs w:val="24"/>
        </w:rPr>
        <w:t>从贵族到士大夫再到文人——这是古代知识阶层身份演变的历史轨迹，也是古代趣味演变的历史轨迹。</w:t>
      </w:r>
    </w:p>
    <w:p w:rsidR="00410FEB" w:rsidRPr="00FE684F" w:rsidP="00FE684F">
      <w:pPr>
        <w:pStyle w:val="PlainText"/>
        <w:snapToGrid w:val="0"/>
        <w:spacing w:line="360" w:lineRule="auto"/>
        <w:ind w:firstLine="420" w:firstLineChars="200"/>
        <w:jc w:val="right"/>
        <w:rPr>
          <w:rFonts w:hAnsi="宋体" w:cs="Times New Roman"/>
          <w:szCs w:val="24"/>
        </w:rPr>
      </w:pPr>
      <w:r w:rsidRPr="00FE684F">
        <w:rPr>
          <w:rFonts w:hAnsi="宋体" w:cs="Times New Roman"/>
          <w:szCs w:val="24"/>
        </w:rPr>
        <w:t>(摘编自《中国社会科学报》)</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1．下列关于原文内容的理解和分析，正确的一项是(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A．趣味具有阶级性、历史性，是因为意识形态决定趣味，并使趣味得到巩固与确证。</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B．西周贵族对“文”的重视，体现在一切形式化的人为建构和正式场合的言说方面。</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C．在士大夫阶层出现以前，“道”在西周贵族阶层话语系统中地位较低，不受重视。</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D．“文人趣味”在士大夫的趣味中孕育而生，它既承继了“道”，又发展了“雅”。</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B</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筛选并整合文中的信息的能力。A.由原文第一段可知，“趣味与意识形态相互作用”，趣味是意识形态的基础，意识形态是趣味的确证。故“意识形态决定趣味”这一说法错误。C.原文第三段是说“西周贵族阶层话语系统中没有‘道’的位置”，而非“地位较低”。D.文人趣味在士大夫趣味中衍生，但主要是在文学艺术方面的雅化追求，文中没有谈及对于“道”的继承。</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2．下列对原文论证的相关分析，不正确的一项是(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A．文章从文、道、雅三方面逐层论述了古代“文人趣味”生成与演变的历史轨迹。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B．文章第二段引用孔子的话，论证了“文”是贵族趣味与贵族意识形态的纽结点。</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C．文章分析士大夫与原有贵族的关系，论述了“道”比“文”的趣味系统更高级。</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D．文章以古代知识阶层身份的演变为主线索，分析了古代文人趣味生成和发展的过程。</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本题考查分析论点、论证和论据方法的能力。文章论述了士大夫阶层及其文化系统的产生过程，但并没有对比哪个趣味系统更加高级。</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3．根据原文内容，下列说法不正确的一项是(　　)</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A．“文以载道”不是单纯的文学观念的问题，而是士人阶层文化身份的必然产物。</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B．“文”的系统把贵族与其他社会阶层区别开来，可见它维护着西周贵族统治秩序。</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C．文人一旦开始重视自己的精神世界，便会更注重文艺创作而不再追求政治理想。</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szCs w:val="24"/>
        </w:rPr>
        <w:t>D．文人往往在仕途失意之时进行创作，可见文人趣味是文学艺术的主要心理基础。</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答案</w:t>
      </w:r>
      <w:r w:rsidRPr="00FE684F">
        <w:rPr>
          <w:rFonts w:hAnsi="宋体" w:cs="Times New Roman"/>
          <w:szCs w:val="24"/>
        </w:rPr>
        <w:t>　C</w:t>
      </w:r>
    </w:p>
    <w:p w:rsidR="00410FEB" w:rsidRPr="00FE684F" w:rsidP="00FE684F">
      <w:pPr>
        <w:pStyle w:val="PlainText"/>
        <w:snapToGrid w:val="0"/>
        <w:spacing w:line="360" w:lineRule="auto"/>
        <w:ind w:firstLine="420" w:firstLineChars="200"/>
        <w:jc w:val="left"/>
        <w:rPr>
          <w:rFonts w:hAnsi="宋体" w:cs="Times New Roman"/>
          <w:szCs w:val="24"/>
        </w:rPr>
      </w:pPr>
      <w:r w:rsidRPr="00FE684F">
        <w:rPr>
          <w:rFonts w:hAnsi="宋体" w:cs="Times New Roman"/>
          <w:b/>
          <w:color w:val="FF0000"/>
          <w:szCs w:val="24"/>
        </w:rPr>
        <w:t>解析</w:t>
      </w:r>
      <w:r w:rsidRPr="00FE684F">
        <w:rPr>
          <w:rFonts w:hAnsi="宋体" w:cs="Times New Roman"/>
          <w:szCs w:val="24"/>
        </w:rPr>
        <w:t>　本题考查归纳内容要点、概括中心意思的能力。文人是士人阶层的衍生，当士人阶层注意到自己的精神世界便会将文化趣味投放到文艺创作中，但投入文艺创作不代表一定</w:t>
      </w:r>
      <w:r w:rsidRPr="00FE684F">
        <w:rPr>
          <w:rFonts w:hAnsi="宋体" w:cs="Times New Roman"/>
          <w:szCs w:val="24"/>
        </w:rPr>
        <w:t>放弃政治理想。“不再追求政治理想”错误。</w:t>
      </w:r>
    </w:p>
    <w:p w:rsidR="00410FEB" w:rsidRPr="00FE684F" w:rsidP="00FE684F">
      <w:pPr>
        <w:pStyle w:val="PlainText"/>
        <w:snapToGrid w:val="0"/>
        <w:spacing w:line="360" w:lineRule="auto"/>
        <w:ind w:firstLine="420" w:firstLineChars="200"/>
        <w:jc w:val="left"/>
        <w:rPr>
          <w:rFonts w:hAnsi="宋体" w:cs="Times New Roman"/>
          <w:szCs w:val="24"/>
        </w:rPr>
      </w:pPr>
    </w:p>
    <w:p w:rsidR="00DE35FD" w:rsidRPr="00FE684F" w:rsidP="00410FEB">
      <w:pPr>
        <w:rPr>
          <w:rFonts w:ascii="宋体" w:hAnsi="宋体"/>
        </w:rPr>
      </w:pPr>
      <w:r w:rsidRPr="00FE684F">
        <w:rPr>
          <w:rFonts w:ascii="宋体" w:hAnsi="宋体"/>
        </w:rPr>
        <w:br w:type="page"/>
      </w:r>
    </w:p>
    <w:p w:rsidR="00DE35FD" w:rsidRPr="00FE684F" w:rsidP="002B00F0">
      <w:pPr>
        <w:rPr>
          <w:rFonts w:ascii="宋体" w:hAnsi="宋体"/>
        </w:rPr>
      </w:pPr>
    </w:p>
    <w:p w:rsidR="00DE35FD" w:rsidRPr="00FE684F" w:rsidP="002B00F0">
      <w:pPr>
        <w:rPr>
          <w:rFonts w:ascii="宋体" w:hAnsi="宋体"/>
        </w:rPr>
      </w:pPr>
    </w:p>
    <w:p w:rsidR="00644FD8" w:rsidRPr="00FE684F" w:rsidP="00410FEB">
      <w:pPr>
        <w:rPr>
          <w:rFonts w:ascii="宋体" w:hAnsi="宋体"/>
        </w:rPr>
      </w:pPr>
    </w:p>
    <w:sectPr w:rsidSect="00083589">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5FD"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E35FD" w:rsidP="00DE35F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5FD"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E684F">
      <w:rPr>
        <w:rStyle w:val="PageNumber"/>
        <w:noProof/>
      </w:rPr>
      <w:t>35</w:t>
    </w:r>
    <w:r>
      <w:rPr>
        <w:rStyle w:val="PageNumber"/>
      </w:rPr>
      <w:fldChar w:fldCharType="end"/>
    </w:r>
  </w:p>
  <w:p w:rsidR="00DE35FD" w:rsidP="00DE35F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3589"/>
    <w:rsid w:val="00083589"/>
    <w:rsid w:val="0016302C"/>
    <w:rsid w:val="002B00F0"/>
    <w:rsid w:val="00410FEB"/>
    <w:rsid w:val="00644FD8"/>
    <w:rsid w:val="00DE35FD"/>
    <w:rsid w:val="00DF77A3"/>
    <w:rsid w:val="00EB4A9F"/>
    <w:rsid w:val="00FC4F56"/>
    <w:rsid w:val="00FE684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FEB"/>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410FEB"/>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10FEB"/>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410FEB"/>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410FEB"/>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410FEB"/>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410FEB"/>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410FEB"/>
    <w:pPr>
      <w:keepNext/>
      <w:keepLines/>
      <w:spacing w:before="240" w:after="64" w:line="320" w:lineRule="auto"/>
      <w:outlineLvl w:val="6"/>
    </w:pPr>
    <w:rPr>
      <w:b/>
      <w:bCs/>
      <w:sz w:val="24"/>
    </w:rPr>
  </w:style>
  <w:style w:type="paragraph" w:styleId="Heading8">
    <w:name w:val="heading 8"/>
    <w:basedOn w:val="Normal"/>
    <w:next w:val="Normal"/>
    <w:link w:val="8Char"/>
    <w:qFormat/>
    <w:rsid w:val="00410FEB"/>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410FEB"/>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410FEB"/>
    <w:rPr>
      <w:rFonts w:ascii="Arial" w:eastAsia="黑体" w:hAnsi="Arial" w:cs="Times New Roman"/>
      <w:b/>
      <w:bCs/>
      <w:sz w:val="32"/>
      <w:szCs w:val="32"/>
    </w:rPr>
  </w:style>
  <w:style w:type="character" w:customStyle="1" w:styleId="3Char">
    <w:name w:val="标题 3 Char"/>
    <w:basedOn w:val="DefaultParagraphFont"/>
    <w:link w:val="Heading3"/>
    <w:rsid w:val="00410FEB"/>
    <w:rPr>
      <w:rFonts w:ascii="Times New Roman" w:eastAsia="宋体" w:hAnsi="Times New Roman" w:cs="Times New Roman"/>
      <w:b/>
      <w:bCs/>
      <w:sz w:val="32"/>
      <w:szCs w:val="32"/>
    </w:rPr>
  </w:style>
  <w:style w:type="character" w:customStyle="1" w:styleId="4Char">
    <w:name w:val="标题 4 Char"/>
    <w:basedOn w:val="DefaultParagraphFont"/>
    <w:link w:val="Heading4"/>
    <w:rsid w:val="00410FEB"/>
    <w:rPr>
      <w:rFonts w:ascii="Arial" w:eastAsia="黑体" w:hAnsi="Arial" w:cs="Times New Roman"/>
      <w:b/>
      <w:bCs/>
      <w:sz w:val="28"/>
      <w:szCs w:val="28"/>
    </w:rPr>
  </w:style>
  <w:style w:type="character" w:customStyle="1" w:styleId="5Char">
    <w:name w:val="标题 5 Char"/>
    <w:basedOn w:val="DefaultParagraphFont"/>
    <w:link w:val="Heading5"/>
    <w:rsid w:val="00410FEB"/>
    <w:rPr>
      <w:rFonts w:ascii="Times New Roman" w:eastAsia="宋体" w:hAnsi="Times New Roman" w:cs="Times New Roman"/>
      <w:b/>
      <w:bCs/>
      <w:sz w:val="28"/>
      <w:szCs w:val="28"/>
    </w:rPr>
  </w:style>
  <w:style w:type="character" w:customStyle="1" w:styleId="6Char">
    <w:name w:val="标题 6 Char"/>
    <w:basedOn w:val="DefaultParagraphFont"/>
    <w:link w:val="Heading6"/>
    <w:rsid w:val="00410FEB"/>
    <w:rPr>
      <w:rFonts w:ascii="Arial" w:eastAsia="黑体" w:hAnsi="Arial" w:cs="Times New Roman"/>
      <w:b/>
      <w:bCs/>
      <w:sz w:val="24"/>
      <w:szCs w:val="24"/>
    </w:rPr>
  </w:style>
  <w:style w:type="character" w:customStyle="1" w:styleId="7Char">
    <w:name w:val="标题 7 Char"/>
    <w:basedOn w:val="DefaultParagraphFont"/>
    <w:link w:val="Heading7"/>
    <w:rsid w:val="00410FEB"/>
    <w:rPr>
      <w:rFonts w:ascii="Times New Roman" w:eastAsia="宋体" w:hAnsi="Times New Roman" w:cs="Times New Roman"/>
      <w:b/>
      <w:bCs/>
      <w:sz w:val="24"/>
      <w:szCs w:val="24"/>
    </w:rPr>
  </w:style>
  <w:style w:type="character" w:customStyle="1" w:styleId="8Char">
    <w:name w:val="标题 8 Char"/>
    <w:basedOn w:val="DefaultParagraphFont"/>
    <w:link w:val="Heading8"/>
    <w:rsid w:val="00410FEB"/>
    <w:rPr>
      <w:rFonts w:ascii="Arial" w:eastAsia="黑体" w:hAnsi="Arial" w:cs="Times New Roman"/>
      <w:sz w:val="24"/>
      <w:szCs w:val="24"/>
    </w:rPr>
  </w:style>
  <w:style w:type="paragraph" w:styleId="PlainText">
    <w:name w:val="Plain Text"/>
    <w:basedOn w:val="Normal"/>
    <w:link w:val="Char"/>
    <w:rsid w:val="00410FEB"/>
    <w:rPr>
      <w:rFonts w:ascii="宋体" w:hAnsi="Courier New" w:cs="Courier New"/>
      <w:szCs w:val="21"/>
    </w:rPr>
  </w:style>
  <w:style w:type="character" w:customStyle="1" w:styleId="Char">
    <w:name w:val="纯文本 Char"/>
    <w:basedOn w:val="DefaultParagraphFont"/>
    <w:link w:val="PlainText"/>
    <w:rsid w:val="00410FEB"/>
    <w:rPr>
      <w:rFonts w:ascii="宋体" w:eastAsia="宋体" w:hAnsi="Courier New" w:cs="Courier New"/>
      <w:szCs w:val="21"/>
    </w:rPr>
  </w:style>
  <w:style w:type="paragraph" w:styleId="Header">
    <w:name w:val="header"/>
    <w:basedOn w:val="Normal"/>
    <w:link w:val="Char0"/>
    <w:rsid w:val="00410F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410FEB"/>
    <w:rPr>
      <w:rFonts w:ascii="Times New Roman" w:eastAsia="宋体" w:hAnsi="Times New Roman" w:cs="Times New Roman"/>
      <w:sz w:val="18"/>
      <w:szCs w:val="18"/>
    </w:rPr>
  </w:style>
  <w:style w:type="paragraph" w:styleId="Footer">
    <w:name w:val="footer"/>
    <w:basedOn w:val="Normal"/>
    <w:link w:val="Char1"/>
    <w:rsid w:val="00410FEB"/>
    <w:pPr>
      <w:tabs>
        <w:tab w:val="center" w:pos="4153"/>
        <w:tab w:val="right" w:pos="8306"/>
      </w:tabs>
      <w:snapToGrid w:val="0"/>
      <w:jc w:val="left"/>
    </w:pPr>
    <w:rPr>
      <w:sz w:val="18"/>
      <w:szCs w:val="18"/>
    </w:rPr>
  </w:style>
  <w:style w:type="character" w:customStyle="1" w:styleId="Char1">
    <w:name w:val="页脚 Char"/>
    <w:basedOn w:val="DefaultParagraphFont"/>
    <w:link w:val="Footer"/>
    <w:rsid w:val="00410FEB"/>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DE35FD"/>
    <w:rPr>
      <w:sz w:val="18"/>
      <w:szCs w:val="18"/>
    </w:rPr>
  </w:style>
  <w:style w:type="character" w:customStyle="1" w:styleId="Char2">
    <w:name w:val="批注框文本 Char"/>
    <w:basedOn w:val="DefaultParagraphFont"/>
    <w:link w:val="BalloonText"/>
    <w:uiPriority w:val="99"/>
    <w:semiHidden/>
    <w:rsid w:val="00DE35FD"/>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DE35F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5404</Words>
  <Characters>30805</Characters>
  <Application>Microsoft Office Word</Application>
  <DocSecurity>0</DocSecurity>
  <Lines>256</Lines>
  <Paragraphs>72</Paragraphs>
  <ScaleCrop>false</ScaleCrop>
  <Company/>
  <LinksUpToDate>false</LinksUpToDate>
  <CharactersWithSpaces>36137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2019-04-29T00:05:00Z</dcterms:created>
  <dcterms:modified xsi:type="dcterms:W3CDTF">2019-05-05T06:59:00Z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